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ind w:left="0" w:leftChars="0"/>
        <w:jc w:val="center"/>
        <w:textAlignment w:val="auto"/>
        <w:rPr>
          <w:rFonts w:hint="eastAsia" w:ascii="Times New Roman" w:hAnsi="Times New Roman" w:cs="宋体"/>
          <w:color w:val="000000"/>
        </w:rPr>
      </w:pPr>
      <w:r>
        <w:rPr>
          <w:rFonts w:hint="eastAsia" w:ascii="Times New Roman" w:hAnsi="Times New Roman" w:cs="宋体"/>
          <w:color w:val="000000"/>
        </w:rPr>
        <w:t xml:space="preserve">                                                   </w:t>
      </w:r>
    </w:p>
    <w:p>
      <w:pPr>
        <w:keepNext w:val="0"/>
        <w:keepLines w:val="0"/>
        <w:pageBreakBefore w:val="0"/>
        <w:kinsoku/>
        <w:wordWrap/>
        <w:overflowPunct/>
        <w:topLinePunct w:val="0"/>
        <w:bidi w:val="0"/>
        <w:snapToGrid/>
        <w:spacing w:line="560" w:lineRule="exact"/>
        <w:ind w:left="0" w:leftChars="0"/>
        <w:jc w:val="center"/>
        <w:textAlignment w:val="auto"/>
        <w:rPr>
          <w:rFonts w:hint="eastAsia" w:ascii="Times New Roman" w:hAnsi="Times New Roman" w:cs="宋体"/>
          <w:color w:val="000000"/>
        </w:rPr>
      </w:pPr>
    </w:p>
    <w:p>
      <w:pPr>
        <w:keepNext w:val="0"/>
        <w:keepLines w:val="0"/>
        <w:pageBreakBefore w:val="0"/>
        <w:kinsoku/>
        <w:wordWrap/>
        <w:overflowPunct/>
        <w:topLinePunct w:val="0"/>
        <w:bidi w:val="0"/>
        <w:snapToGrid/>
        <w:spacing w:line="560" w:lineRule="exact"/>
        <w:ind w:left="0" w:leftChars="0"/>
        <w:jc w:val="center"/>
        <w:textAlignment w:val="auto"/>
        <w:rPr>
          <w:rFonts w:hint="eastAsia" w:ascii="Times New Roman" w:hAnsi="Times New Roman" w:cs="宋体"/>
          <w:color w:val="000000"/>
        </w:rPr>
      </w:pPr>
    </w:p>
    <w:p>
      <w:pPr>
        <w:keepNext w:val="0"/>
        <w:keepLines w:val="0"/>
        <w:pageBreakBefore w:val="0"/>
        <w:kinsoku/>
        <w:wordWrap/>
        <w:overflowPunct/>
        <w:topLinePunct w:val="0"/>
        <w:bidi w:val="0"/>
        <w:snapToGrid/>
        <w:spacing w:line="560" w:lineRule="exact"/>
        <w:ind w:left="0" w:leftChars="0"/>
        <w:jc w:val="center"/>
        <w:textAlignment w:val="auto"/>
        <w:rPr>
          <w:rFonts w:hint="eastAsia" w:ascii="Times New Roman" w:hAnsi="Times New Roman" w:cs="宋体"/>
          <w:color w:val="000000"/>
        </w:rPr>
      </w:pPr>
    </w:p>
    <w:p>
      <w:pPr>
        <w:keepNext w:val="0"/>
        <w:keepLines w:val="0"/>
        <w:pageBreakBefore w:val="0"/>
        <w:kinsoku/>
        <w:wordWrap/>
        <w:overflowPunct/>
        <w:topLinePunct w:val="0"/>
        <w:bidi w:val="0"/>
        <w:snapToGrid/>
        <w:spacing w:line="560" w:lineRule="exact"/>
        <w:ind w:left="0" w:leftChars="0"/>
        <w:textAlignment w:val="auto"/>
        <w:rPr>
          <w:rFonts w:hint="eastAsia" w:ascii="Times New Roman" w:hAnsi="Times New Roman" w:cs="宋体"/>
          <w:color w:val="000000"/>
          <w:sz w:val="10"/>
          <w:szCs w:val="10"/>
        </w:rPr>
      </w:pPr>
    </w:p>
    <w:p>
      <w:pPr>
        <w:keepNext w:val="0"/>
        <w:keepLines w:val="0"/>
        <w:pageBreakBefore w:val="0"/>
        <w:kinsoku/>
        <w:wordWrap/>
        <w:overflowPunct/>
        <w:topLinePunct w:val="0"/>
        <w:bidi w:val="0"/>
        <w:snapToGrid/>
        <w:spacing w:line="560" w:lineRule="exact"/>
        <w:ind w:left="0" w:leftChars="0"/>
        <w:textAlignment w:val="auto"/>
        <w:rPr>
          <w:rFonts w:hint="eastAsia" w:ascii="Times New Roman" w:hAnsi="Times New Roman" w:cs="宋体"/>
          <w:color w:val="000000"/>
          <w:sz w:val="24"/>
          <w:szCs w:val="24"/>
        </w:rPr>
      </w:pPr>
    </w:p>
    <w:p>
      <w:pPr>
        <w:keepNext w:val="0"/>
        <w:keepLines w:val="0"/>
        <w:pageBreakBefore w:val="0"/>
        <w:kinsoku/>
        <w:wordWrap/>
        <w:overflowPunct/>
        <w:topLinePunct w:val="0"/>
        <w:bidi w:val="0"/>
        <w:snapToGrid/>
        <w:spacing w:line="560" w:lineRule="exact"/>
        <w:ind w:left="0" w:leftChars="0"/>
        <w:textAlignment w:val="auto"/>
        <w:rPr>
          <w:rFonts w:hint="eastAsia" w:ascii="Times New Roman" w:hAnsi="Times New Roman" w:cs="宋体"/>
          <w:color w:val="000000"/>
          <w:sz w:val="24"/>
          <w:szCs w:val="24"/>
        </w:rPr>
      </w:pPr>
    </w:p>
    <w:p>
      <w:pPr>
        <w:keepNext w:val="0"/>
        <w:keepLines w:val="0"/>
        <w:pageBreakBefore w:val="0"/>
        <w:kinsoku/>
        <w:wordWrap/>
        <w:overflowPunct/>
        <w:topLinePunct w:val="0"/>
        <w:bidi w:val="0"/>
        <w:snapToGrid/>
        <w:spacing w:line="560" w:lineRule="exact"/>
        <w:ind w:left="0" w:leftChars="0"/>
        <w:jc w:val="center"/>
        <w:textAlignment w:val="auto"/>
        <w:rPr>
          <w:rFonts w:hint="eastAsia" w:ascii="Times New Roman" w:hAnsi="Times New Roman" w:cs="宋体"/>
          <w:color w:val="000000"/>
        </w:rPr>
      </w:pPr>
      <w:bookmarkStart w:id="0" w:name="_GoBack"/>
      <w:r>
        <w:rPr>
          <w:rFonts w:hint="eastAsia" w:ascii="Times New Roman" w:hAnsi="Times New Roman" w:eastAsia="仿宋_GB2312" w:cs="宋体"/>
          <w:color w:val="000000"/>
        </w:rPr>
        <w:t>三民</w:t>
      </w:r>
      <w:r>
        <w:rPr>
          <w:rFonts w:hint="eastAsia" w:ascii="Times New Roman" w:hAnsi="Times New Roman" w:cs="宋体"/>
          <w:color w:val="000000"/>
        </w:rPr>
        <w:t>〔20</w:t>
      </w:r>
      <w:r>
        <w:rPr>
          <w:rFonts w:hint="eastAsia" w:ascii="Times New Roman" w:hAnsi="Times New Roman" w:cs="宋体"/>
          <w:color w:val="000000"/>
          <w:lang w:val="en-US" w:eastAsia="zh-CN"/>
        </w:rPr>
        <w:t>22</w:t>
      </w:r>
      <w:r>
        <w:rPr>
          <w:rFonts w:hint="eastAsia" w:ascii="Times New Roman" w:hAnsi="Times New Roman" w:cs="宋体"/>
          <w:color w:val="000000"/>
        </w:rPr>
        <w:t>〕</w:t>
      </w:r>
      <w:r>
        <w:rPr>
          <w:rFonts w:hint="eastAsia" w:ascii="Times New Roman" w:hAnsi="Times New Roman" w:cs="宋体"/>
          <w:color w:val="000000"/>
          <w:lang w:val="en-US" w:eastAsia="zh-CN"/>
        </w:rPr>
        <w:t>4</w:t>
      </w:r>
      <w:r>
        <w:rPr>
          <w:rFonts w:hint="eastAsia" w:ascii="Times New Roman" w:hAnsi="Times New Roman" w:eastAsia="仿宋_GB2312" w:cs="宋体"/>
          <w:color w:val="000000"/>
        </w:rPr>
        <w:t>号</w:t>
      </w:r>
    </w:p>
    <w:bookmarkEnd w:id="0"/>
    <w:p>
      <w:pPr>
        <w:keepNext w:val="0"/>
        <w:keepLines w:val="0"/>
        <w:pageBreakBefore w:val="0"/>
        <w:kinsoku/>
        <w:wordWrap/>
        <w:overflowPunct/>
        <w:topLinePunct w:val="0"/>
        <w:bidi w:val="0"/>
        <w:snapToGrid/>
        <w:spacing w:line="560" w:lineRule="exact"/>
        <w:ind w:left="0" w:leftChars="0"/>
        <w:jc w:val="center"/>
        <w:textAlignment w:val="auto"/>
        <w:rPr>
          <w:rFonts w:hint="eastAsia" w:ascii="Times New Roman" w:hAnsi="Times New Roman" w:cs="宋体"/>
          <w:color w:val="000000"/>
        </w:rPr>
      </w:pPr>
    </w:p>
    <w:p>
      <w:pPr>
        <w:pStyle w:val="2"/>
        <w:keepNext w:val="0"/>
        <w:keepLines w:val="0"/>
        <w:pageBreakBefore w:val="0"/>
        <w:kinsoku/>
        <w:wordWrap/>
        <w:overflowPunct/>
        <w:topLinePunct w:val="0"/>
        <w:bidi w:val="0"/>
        <w:snapToGrid/>
        <w:spacing w:line="560" w:lineRule="exact"/>
        <w:ind w:left="0" w:leftChars="0"/>
        <w:jc w:val="center"/>
        <w:textAlignment w:val="auto"/>
        <w:rPr>
          <w:rFonts w:hint="eastAsia" w:ascii="Times New Roman" w:hAnsi="Times New Roman"/>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方正小标宋简体" w:cs="方正小标宋简体"/>
          <w:b w:val="0"/>
          <w:bCs w:val="0"/>
          <w:color w:val="000000"/>
          <w:kern w:val="0"/>
          <w:sz w:val="44"/>
          <w:szCs w:val="44"/>
          <w:lang w:val="en-US" w:eastAsia="zh-CN" w:bidi="ar"/>
        </w:rPr>
      </w:pPr>
      <w:r>
        <w:rPr>
          <w:rFonts w:hint="eastAsia" w:ascii="Times New Roman" w:hAnsi="Times New Roman" w:eastAsia="方正小标宋简体" w:cs="方正小标宋简体"/>
          <w:b w:val="0"/>
          <w:bCs w:val="0"/>
          <w:color w:val="000000"/>
          <w:kern w:val="0"/>
          <w:sz w:val="44"/>
          <w:szCs w:val="44"/>
          <w:lang w:val="en-US" w:eastAsia="zh-CN" w:bidi="ar"/>
        </w:rPr>
        <w:t>三门峡市民政局</w:t>
      </w:r>
    </w:p>
    <w:p>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b w:val="0"/>
          <w:bCs w:val="0"/>
          <w:color w:val="000000"/>
          <w:kern w:val="0"/>
          <w:sz w:val="44"/>
          <w:szCs w:val="44"/>
          <w:lang w:val="en-US" w:eastAsia="zh-CN" w:bidi="ar"/>
        </w:rPr>
        <w:t>关于</w:t>
      </w:r>
      <w:r>
        <w:rPr>
          <w:rFonts w:hint="eastAsia" w:ascii="Times New Roman" w:hAnsi="Times New Roman" w:eastAsia="方正小标宋简体" w:cs="方正小标宋简体"/>
          <w:sz w:val="44"/>
          <w:szCs w:val="44"/>
        </w:rPr>
        <w:t>对全</w:t>
      </w:r>
      <w:r>
        <w:rPr>
          <w:rFonts w:hint="eastAsia" w:ascii="Times New Roman" w:hAnsi="Times New Roman" w:eastAsia="方正小标宋简体" w:cs="方正小标宋简体"/>
          <w:sz w:val="44"/>
          <w:szCs w:val="44"/>
          <w:lang w:eastAsia="zh-CN"/>
        </w:rPr>
        <w:t>市</w:t>
      </w:r>
      <w:r>
        <w:rPr>
          <w:rFonts w:hint="eastAsia" w:ascii="Times New Roman" w:hAnsi="Times New Roman" w:eastAsia="方正小标宋简体" w:cs="方正小标宋简体"/>
          <w:sz w:val="44"/>
          <w:szCs w:val="44"/>
        </w:rPr>
        <w:t>养老服务领域防范</w:t>
      </w:r>
      <w:r>
        <w:rPr>
          <w:rFonts w:hint="eastAsia" w:ascii="Times New Roman" w:hAnsi="Times New Roman" w:eastAsia="方正小标宋简体" w:cs="方正小标宋简体"/>
          <w:sz w:val="44"/>
          <w:szCs w:val="44"/>
          <w:lang w:eastAsia="zh-CN"/>
        </w:rPr>
        <w:t>化</w:t>
      </w:r>
      <w:r>
        <w:rPr>
          <w:rFonts w:hint="eastAsia" w:ascii="Times New Roman" w:hAnsi="Times New Roman" w:eastAsia="方正小标宋简体" w:cs="方正小标宋简体"/>
          <w:sz w:val="44"/>
          <w:szCs w:val="44"/>
        </w:rPr>
        <w:t>解诈骗</w:t>
      </w:r>
    </w:p>
    <w:p>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方正小标宋简体" w:cs="方正小标宋简体"/>
          <w:b w:val="0"/>
          <w:bCs w:val="0"/>
          <w:color w:val="000000"/>
          <w:kern w:val="0"/>
          <w:sz w:val="44"/>
          <w:szCs w:val="44"/>
          <w:lang w:val="en-US" w:eastAsia="zh-CN" w:bidi="ar"/>
        </w:rPr>
      </w:pPr>
      <w:r>
        <w:rPr>
          <w:rFonts w:hint="eastAsia" w:ascii="Times New Roman" w:hAnsi="Times New Roman" w:eastAsia="方正小标宋简体" w:cs="方正小标宋简体"/>
          <w:sz w:val="44"/>
          <w:szCs w:val="44"/>
        </w:rPr>
        <w:t>问题进一步摸底排查</w:t>
      </w:r>
      <w:r>
        <w:rPr>
          <w:rFonts w:hint="eastAsia" w:ascii="Times New Roman" w:hAnsi="Times New Roman" w:eastAsia="方正小标宋简体" w:cs="方正小标宋简体"/>
          <w:b w:val="0"/>
          <w:bCs w:val="0"/>
          <w:color w:val="000000"/>
          <w:kern w:val="0"/>
          <w:sz w:val="44"/>
          <w:szCs w:val="44"/>
          <w:lang w:val="en-US" w:eastAsia="zh-CN" w:bidi="ar"/>
        </w:rPr>
        <w:t>的通知</w:t>
      </w:r>
    </w:p>
    <w:p>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各县（市、区）民政局，城乡一体化示范区社会事业局</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开发区</w:t>
      </w:r>
      <w:r>
        <w:rPr>
          <w:rFonts w:hint="eastAsia" w:ascii="Times New Roman" w:hAnsi="Times New Roman" w:eastAsia="仿宋_GB2312" w:cs="仿宋_GB2312"/>
          <w:sz w:val="32"/>
          <w:szCs w:val="32"/>
          <w:lang w:eastAsia="zh-CN"/>
        </w:rPr>
        <w:t>向阳街道办事处</w:t>
      </w:r>
      <w:r>
        <w:rPr>
          <w:rFonts w:hint="eastAsia" w:ascii="Times New Roman" w:hAnsi="Times New Roman"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为贯彻落实好12月9日民政部防范化解养老服务诈骗问题动员部署电视电话会议精神</w:t>
      </w:r>
      <w:r>
        <w:rPr>
          <w:rFonts w:hint="eastAsia" w:ascii="Times New Roman" w:hAnsi="Times New Roman" w:eastAsia="仿宋_GB2312" w:cs="仿宋_GB2312"/>
          <w:sz w:val="32"/>
          <w:szCs w:val="32"/>
          <w:lang w:eastAsia="zh-CN"/>
        </w:rPr>
        <w:t>及《河南省民政厅关于对全省养老服务领域防范化解诈骗问题进一步摸底排查的通知》</w:t>
      </w:r>
      <w:r>
        <w:rPr>
          <w:rFonts w:hint="eastAsia" w:ascii="Times New Roman" w:hAnsi="Times New Roman" w:eastAsia="仿宋_GB2312" w:cs="仿宋_GB2312"/>
          <w:sz w:val="32"/>
          <w:szCs w:val="32"/>
          <w:lang w:val="en-US" w:eastAsia="zh-CN"/>
        </w:rPr>
        <w:t>(豫民文</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2021</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299号)精神</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进一步做好</w:t>
      </w:r>
      <w:r>
        <w:rPr>
          <w:rFonts w:hint="eastAsia" w:ascii="Times New Roman" w:hAnsi="Times New Roman" w:eastAsia="仿宋_GB2312" w:cs="仿宋_GB2312"/>
          <w:sz w:val="32"/>
          <w:szCs w:val="32"/>
          <w:lang w:eastAsia="zh-CN"/>
        </w:rPr>
        <w:t>我市</w:t>
      </w:r>
      <w:r>
        <w:rPr>
          <w:rFonts w:hint="eastAsia" w:ascii="Times New Roman" w:hAnsi="Times New Roman" w:eastAsia="仿宋_GB2312" w:cs="仿宋_GB2312"/>
          <w:sz w:val="32"/>
          <w:szCs w:val="32"/>
        </w:rPr>
        <w:t>养老服务领域风险摸底排查和问题隐患分类处置工作，全面压降存量风险，全力遏制新增隐患，维护老年人合法权益，现就防范化解养老服务诈骗问题摸底排查工作通知如下：</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rPr>
        <w:t>一、工作目标</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加强养老服务领域非法集资和诈骗活动监测预警，全面压降养老服务诈骗存量风险、全力遏制新增风险，防止发生群访和集体上访事件，防止发生冲击社会道德底线的极端事件。2022年2月底前全面完成摸底排查，并对排查结果进行综合评估，建立风险隐患等级从低到高的“绿黄橙红”风险管控名单。</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rPr>
        <w:t>二、工作措施</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lang w:eastAsia="zh-CN"/>
        </w:rPr>
        <w:t>（一）</w:t>
      </w:r>
      <w:r>
        <w:rPr>
          <w:rFonts w:hint="eastAsia" w:ascii="Times New Roman" w:hAnsi="Times New Roman" w:eastAsia="楷体_GB2312" w:cs="楷体_GB2312"/>
          <w:sz w:val="32"/>
          <w:szCs w:val="32"/>
        </w:rPr>
        <w:t>明确摸排对象。</w:t>
      </w:r>
      <w:r>
        <w:rPr>
          <w:rFonts w:hint="eastAsia" w:ascii="Times New Roman" w:hAnsi="Times New Roman" w:eastAsia="仿宋_GB2312" w:cs="仿宋_GB2312"/>
          <w:sz w:val="32"/>
          <w:szCs w:val="32"/>
        </w:rPr>
        <w:t>各地要将日常掌握的信息，与公安部门、市场监管部门获取的信息相结合，汇总形成摸排对象清单，对已经登记的养老服务机构（包括养老机构、社区养老服务机构)，以及未经登记但从事养老服务经营活动的服务场所开展摸排。</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lang w:eastAsia="zh-CN"/>
        </w:rPr>
        <w:t>（二）压实摸排责任。</w:t>
      </w:r>
      <w:r>
        <w:rPr>
          <w:rFonts w:hint="eastAsia" w:ascii="Times New Roman" w:hAnsi="Times New Roman" w:eastAsia="仿宋_GB2312" w:cs="仿宋_GB2312"/>
          <w:sz w:val="32"/>
          <w:szCs w:val="32"/>
        </w:rPr>
        <w:t>已备案的养老服务机构，由备案的民政部门负责摸排；未备案的养老服务机构，以及未经登记但从事养老服务经营活动的服务场所，由服务场所所在县级民政部门负责摸排。各级民政部门在摸排中，要充分依托熟悉情况的属地街道办事处、乡镇人民政府开展上门调查等工作。</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lang w:eastAsia="zh-CN"/>
        </w:rPr>
        <w:t>（三）把握摸排重点。</w:t>
      </w:r>
      <w:r>
        <w:rPr>
          <w:rFonts w:hint="eastAsia" w:ascii="Times New Roman" w:hAnsi="Times New Roman" w:eastAsia="仿宋_GB2312" w:cs="仿宋_GB2312"/>
          <w:sz w:val="32"/>
          <w:szCs w:val="32"/>
        </w:rPr>
        <w:t>从机构类型上看，重点排查民办的、公建民营的、规模相对较大的、涉足多产业领域的养老服务机构。从摸排事项上看，重点排查运营主体、营销方式、收费方式、关联公司等情况，以及投资人、法定代表人有没有因为经济类犯罪被提起过诉讼，或者被纳入过养老服务、企业和社会组织黑名单等情形，特别是要重点排查养老服务机构收取大额预付费、预付费涉及人数、预付费资金使用情况，以及承诺投资回报“炒床位”等情况。</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lang w:eastAsia="zh-CN"/>
        </w:rPr>
        <w:t>（四）掌握摸排方法。</w:t>
      </w:r>
      <w:r>
        <w:rPr>
          <w:rFonts w:hint="eastAsia" w:ascii="Times New Roman" w:hAnsi="Times New Roman" w:eastAsia="仿宋_GB2312" w:cs="仿宋_GB2312"/>
          <w:sz w:val="32"/>
          <w:szCs w:val="32"/>
        </w:rPr>
        <w:t>对辖区内养老服务机构采用“四不两直”的方式逐一上门排查，个别地区因疫情原因不能上门的，要综合运用视频、电话、查阅资料等方式了解有关情况，特别是要询问入住的老年人或者其代理人，了解养老服务机构是否收取预付费以及告知风险等情况。要善于利用互联网大数据资源，如国家发改委的“信用中国”网站可以查询黑名单，最高人民法院的“中国裁判文书网”可以查询诉讼情况，国家市场监管总局的企业信息公示系统可以查询关联公司等，多维度对养老服务机构进行风险画像，并建立相应数据库。</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lang w:eastAsia="zh-CN"/>
        </w:rPr>
        <w:t>（五）推进分类处置。</w:t>
      </w:r>
      <w:r>
        <w:rPr>
          <w:rFonts w:hint="eastAsia" w:ascii="Times New Roman" w:hAnsi="Times New Roman" w:eastAsia="仿宋_GB2312" w:cs="仿宋_GB2312"/>
          <w:sz w:val="32"/>
          <w:szCs w:val="32"/>
        </w:rPr>
        <w:t>坚持“排查全覆盖、处置硬措施、风险软着陆”的工作原则，对排查结果进行综合评估，建立风险</w:t>
      </w:r>
      <w:r>
        <w:rPr>
          <w:rFonts w:hint="eastAsia" w:ascii="Times New Roman" w:hAnsi="Times New Roman" w:eastAsia="仿宋_GB2312" w:cs="仿宋_GB2312"/>
          <w:sz w:val="32"/>
          <w:szCs w:val="32"/>
          <w:lang w:eastAsia="zh-CN"/>
        </w:rPr>
        <w:t>隐患</w:t>
      </w:r>
      <w:r>
        <w:rPr>
          <w:rFonts w:hint="eastAsia" w:ascii="Times New Roman" w:hAnsi="Times New Roman" w:eastAsia="仿宋_GB2312" w:cs="仿宋_GB2312"/>
          <w:sz w:val="32"/>
          <w:szCs w:val="32"/>
        </w:rPr>
        <w:t>等级从低到高的“绿黄橙红”的风险管控名单。没</w:t>
      </w:r>
    </w:p>
    <w:p>
      <w:pPr>
        <w:keepNext w:val="0"/>
        <w:keepLines w:val="0"/>
        <w:pageBreakBefore w:val="0"/>
        <w:kinsoku/>
        <w:wordWrap/>
        <w:overflowPunct/>
        <w:topLinePunct w:val="0"/>
        <w:autoSpaceDE/>
        <w:autoSpaceDN/>
        <w:bidi w:val="0"/>
        <w:adjustRightInd/>
        <w:snapToGrid/>
        <w:spacing w:line="600" w:lineRule="exact"/>
        <w:ind w:left="0" w:left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有发现风险隐患的养老机构，纳入绿色名单，正常开展日常监管；发现养老服务机构前期已经收取大额预付费，但资金主要用于弥补设施建设资金不足，近年分支机构服务网点扩张过快，频繁变更法定代表人、登记注册地等情况，经营服务有潜在风险隐患的，纳入黄色名单，要提示其经营风险，引导养老服务机构规范运营管理，避免快速扩张导致资金链断裂，增加抽查检查频次，加强日常监测；发现养老服务机构主要负责人因为经济犯罪被提起诉讼、被投诉举报、纳入黑名单的，以及养老服务机构前期已经收取大额预付费资金使用不规范，但资可抵债运营比较平稳的，纳入橙色名单，及时向属地人民政府和政法机关进行线索通报，纳入属地非法集资等诈骗防范处置机制，对养老服务机构主要负责人进行警示约谈，责令整改，督促清退资金；对摸排中发现养老服务机构可能存在涉嫌非法集资、诈骗等犯罪行为，前期已经收取大额预付费且资不抵债，已经“爆雷”，引起不良影响或者重大舆情的，纳入红色名单，及时向属地人民政府和政法机关进行线索通报，在属地非法集资等诈骗防范处置机制领导下，配合处非牵头部门、公安机关等依法严厉打击，并协助做好妥善安置老年人、困难老年人救助等工作，保障其基本生活，严密防范发生冲击社会底线的极端事件。对涉嫌犯罪的，要直接移交公安机关依法查处。</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地对未经登记但从事养老服务经营活动的服务场所，也要做好分类处置。对已经收住老年人，运营比较平稳，且没有收取大额预付费的，应当督促其尽快依法办理登记，并加强后续跟踪检查，确保风险整体可控；对已经收住老年人，且收取大额预付费的，应当责令退还资金，并根据场所性质，属民非性质的由社会组织登记管理部门处置，属企业性质的移交市场监管部门，依法予以查处、取缔。对纳入“红橙黄”名单的养老</w:t>
      </w:r>
      <w:r>
        <w:rPr>
          <w:rFonts w:hint="eastAsia" w:ascii="Times New Roman" w:hAnsi="Times New Roman" w:eastAsia="仿宋_GB2312" w:cs="仿宋_GB2312"/>
          <w:sz w:val="32"/>
          <w:szCs w:val="32"/>
          <w:lang w:eastAsia="zh-CN"/>
        </w:rPr>
        <w:t>服务</w:t>
      </w:r>
      <w:r>
        <w:rPr>
          <w:rFonts w:hint="eastAsia" w:ascii="Times New Roman" w:hAnsi="Times New Roman" w:eastAsia="仿宋_GB2312" w:cs="仿宋_GB2312"/>
          <w:sz w:val="32"/>
          <w:szCs w:val="32"/>
        </w:rPr>
        <w:t>机构和未经登记但从事养老服务经营活动的服务场所，在分类处置的同时要</w:t>
      </w:r>
      <w:r>
        <w:rPr>
          <w:rFonts w:hint="default" w:ascii="Times New Roman" w:hAnsi="Times New Roman" w:eastAsia="仿宋_GB2312" w:cs="仿宋_GB2312"/>
          <w:sz w:val="32"/>
          <w:szCs w:val="32"/>
          <w:lang w:val="en"/>
        </w:rPr>
        <w:t>逐级</w:t>
      </w:r>
      <w:r>
        <w:rPr>
          <w:rFonts w:hint="eastAsia" w:ascii="Times New Roman" w:hAnsi="Times New Roman" w:eastAsia="仿宋_GB2312" w:cs="仿宋_GB2312"/>
          <w:sz w:val="32"/>
          <w:szCs w:val="32"/>
        </w:rPr>
        <w:t>报送</w:t>
      </w:r>
      <w:r>
        <w:rPr>
          <w:rFonts w:hint="default" w:ascii="Times New Roman" w:hAnsi="Times New Roman" w:eastAsia="仿宋_GB2312" w:cs="仿宋_GB2312"/>
          <w:sz w:val="32"/>
          <w:szCs w:val="32"/>
          <w:lang w:val="en"/>
        </w:rPr>
        <w:t>省</w:t>
      </w:r>
      <w:r>
        <w:rPr>
          <w:rFonts w:hint="eastAsia" w:ascii="Times New Roman" w:hAnsi="Times New Roman" w:eastAsia="仿宋_GB2312" w:cs="仿宋_GB2312"/>
          <w:sz w:val="32"/>
          <w:szCs w:val="32"/>
        </w:rPr>
        <w:t>民政</w:t>
      </w:r>
      <w:r>
        <w:rPr>
          <w:rFonts w:hint="default" w:ascii="Times New Roman" w:hAnsi="Times New Roman" w:eastAsia="仿宋_GB2312" w:cs="仿宋_GB2312"/>
          <w:sz w:val="32"/>
          <w:szCs w:val="32"/>
          <w:lang w:val="en" w:eastAsia="zh-CN"/>
        </w:rPr>
        <w:t>厅</w:t>
      </w:r>
      <w:r>
        <w:rPr>
          <w:rFonts w:hint="eastAsia" w:ascii="Times New Roman" w:hAnsi="Times New Roman" w:eastAsia="仿宋_GB2312" w:cs="仿宋_GB2312"/>
          <w:sz w:val="32"/>
          <w:szCs w:val="32"/>
        </w:rPr>
        <w:t>备案。</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lang w:eastAsia="zh-CN"/>
        </w:rPr>
        <w:t>（六）明确工作要求。</w:t>
      </w:r>
      <w:r>
        <w:rPr>
          <w:rFonts w:hint="eastAsia" w:ascii="Times New Roman" w:hAnsi="Times New Roman" w:eastAsia="仿宋_GB2312" w:cs="仿宋_GB2312"/>
          <w:sz w:val="32"/>
          <w:szCs w:val="32"/>
        </w:rPr>
        <w:t>各地要在2022年2月</w:t>
      </w:r>
      <w:r>
        <w:rPr>
          <w:rFonts w:hint="eastAsia" w:ascii="Times New Roman" w:hAnsi="Times New Roman" w:eastAsia="仿宋_GB2312" w:cs="仿宋_GB2312"/>
          <w:sz w:val="32"/>
          <w:szCs w:val="32"/>
          <w:lang w:val="en-US" w:eastAsia="zh-CN"/>
        </w:rPr>
        <w:t>18</w:t>
      </w:r>
      <w:r>
        <w:rPr>
          <w:rFonts w:hint="eastAsia" w:ascii="Times New Roman" w:hAnsi="Times New Roman" w:eastAsia="仿宋_GB2312" w:cs="仿宋_GB2312"/>
          <w:sz w:val="32"/>
          <w:szCs w:val="32"/>
        </w:rPr>
        <w:t>日前，扎实完成本轮摸底排查。前期已经反复多次摸排的市县，要根据这次排查范围和要求进行复核，不断提升摸排的精准性、全面性；未排查过的市县要以本次为契机，迅速采取行动，全面深入开展摸排工作。</w:t>
      </w:r>
      <w:r>
        <w:rPr>
          <w:rFonts w:hint="eastAsia" w:ascii="Times New Roman" w:hAnsi="Times New Roman" w:eastAsia="仿宋_GB2312" w:cs="仿宋_GB2312"/>
          <w:sz w:val="32"/>
          <w:szCs w:val="32"/>
          <w:lang w:eastAsia="zh-CN"/>
        </w:rPr>
        <w:t>市民政局</w:t>
      </w:r>
      <w:r>
        <w:rPr>
          <w:rFonts w:hint="eastAsia" w:ascii="Times New Roman" w:hAnsi="Times New Roman" w:eastAsia="仿宋_GB2312" w:cs="仿宋_GB2312"/>
          <w:sz w:val="32"/>
          <w:szCs w:val="32"/>
        </w:rPr>
        <w:t>将对各地的排查工作进行调度和跟踪检查。</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rPr>
        <w:t>三、组织保障</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lang w:eastAsia="zh-CN"/>
        </w:rPr>
        <w:t>（一）加强组织领导。</w:t>
      </w:r>
      <w:r>
        <w:rPr>
          <w:rFonts w:hint="eastAsia" w:ascii="Times New Roman" w:hAnsi="Times New Roman" w:eastAsia="仿宋_GB2312" w:cs="仿宋_GB2312"/>
          <w:sz w:val="32"/>
          <w:szCs w:val="32"/>
        </w:rPr>
        <w:t>各级民政部门要把养老服务诈骗防范化解工作纳入单位“一把手”工程，纳入2022年工作重点，迅速成立领导小组和工作专班，主要负责同志亲自抓，分管负责同志具体抓。要结合通知要求和实际，迅速研究制定工作方案，明确责任分工，分解工作任务，层层压实责任。</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lang w:eastAsia="zh-CN"/>
        </w:rPr>
        <w:t>（二）加强协作配合。</w:t>
      </w:r>
      <w:r>
        <w:rPr>
          <w:rFonts w:hint="eastAsia" w:ascii="Times New Roman" w:hAnsi="Times New Roman" w:eastAsia="仿宋_GB2312" w:cs="仿宋_GB2312"/>
          <w:sz w:val="32"/>
          <w:szCs w:val="32"/>
        </w:rPr>
        <w:t>各级民政部门要及时向党委政府报告工作进展，发现重大案件线索、重大风险隐患，第一时间向党委、政府报告。要与政法、公安、市场监管、处置非法集资牵头部门等单位建立定期通报机制，配合做好非法集资的调查认定、定性定级、风险评估、后续处置等工作。要与市场监管部门建立登记备案信息共享机制，及时掌握本行政区域内新增的经营范围内包含“养老服务”等内容的市场主体信息，通过现场核查确定属于养老服务机构的，要依法依规开展监管。民政系统内部，养老服务部门与社会组织登记管理部门之间要健全登记备案信息共享机制。</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lang w:eastAsia="zh-CN"/>
        </w:rPr>
        <w:t>（三）加强长效机制建设。</w:t>
      </w:r>
      <w:r>
        <w:rPr>
          <w:rFonts w:hint="eastAsia" w:ascii="Times New Roman" w:hAnsi="Times New Roman" w:eastAsia="仿宋_GB2312" w:cs="仿宋_GB2312"/>
          <w:sz w:val="32"/>
          <w:szCs w:val="32"/>
        </w:rPr>
        <w:t>各地要以本次摸排整治行动为契机，及时总结经验做法，加快完善养老服务诈骗防范化解机制，健全综合监管机制，提高监管能力。不断健全完善老年人福利和养老服务体系，加快推动基本养老服务制度建立，加大基本养老服务供给，减缓全社会“养老焦虑”。</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lang w:eastAsia="zh-CN"/>
        </w:rPr>
        <w:t>（四）加强宣传教育和舆情监测。</w:t>
      </w:r>
      <w:r>
        <w:rPr>
          <w:rFonts w:hint="eastAsia" w:ascii="Times New Roman" w:hAnsi="Times New Roman" w:eastAsia="仿宋_GB2312" w:cs="仿宋_GB2312"/>
          <w:sz w:val="32"/>
          <w:szCs w:val="32"/>
        </w:rPr>
        <w:t>各地要梳理分析本行政区域内养老服务诈骗行为的新手法新伎俩，多种渠道向公众发布风险提示，定期发布预警信息。要精准宣传、多样化宣传，走进社区、走进机构、走进公园、走进广场等老年人聚集的场所开展宣传，提高老年人识骗防骗能力。要加强防范化解过程中的负面舆情监测和应对，及时跟踪社会热点，认真对待信访和政府热线、官网网友留言中的问题线索。</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rPr>
        <w:t>四、总结报告</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"mailto:各地要及时总结工作经验，认真按照填报说明填写附件1、2、3、4，并于2022年2月18日前报市民政局养老服务科电子邮箱(smxllwbgs@163.com)。"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各地要及时总结工作经验，认真按照填报说明填写附件1、2、3、4，并于2022年2月</w:t>
      </w:r>
      <w:r>
        <w:rPr>
          <w:rFonts w:hint="eastAsia" w:ascii="Times New Roman" w:hAnsi="Times New Roman" w:eastAsia="仿宋_GB2312" w:cs="仿宋_GB2312"/>
          <w:sz w:val="32"/>
          <w:szCs w:val="32"/>
          <w:lang w:val="en-US" w:eastAsia="zh-CN"/>
        </w:rPr>
        <w:t>18</w:t>
      </w:r>
      <w:r>
        <w:rPr>
          <w:rFonts w:hint="eastAsia" w:ascii="Times New Roman" w:hAnsi="Times New Roman" w:eastAsia="仿宋_GB2312" w:cs="仿宋_GB2312"/>
          <w:sz w:val="32"/>
          <w:szCs w:val="32"/>
        </w:rPr>
        <w:t>日前报</w:t>
      </w:r>
      <w:r>
        <w:rPr>
          <w:rFonts w:hint="eastAsia" w:ascii="Times New Roman" w:hAnsi="Times New Roman" w:eastAsia="仿宋_GB2312" w:cs="仿宋_GB2312"/>
          <w:sz w:val="32"/>
          <w:szCs w:val="32"/>
          <w:lang w:eastAsia="zh-CN"/>
        </w:rPr>
        <w:t>市民政局</w:t>
      </w:r>
      <w:r>
        <w:rPr>
          <w:rFonts w:hint="eastAsia" w:ascii="Times New Roman" w:hAnsi="Times New Roman" w:eastAsia="仿宋_GB2312" w:cs="仿宋_GB2312"/>
          <w:sz w:val="32"/>
          <w:szCs w:val="32"/>
        </w:rPr>
        <w:t>养老服务</w:t>
      </w:r>
      <w:r>
        <w:rPr>
          <w:rFonts w:hint="eastAsia" w:ascii="Times New Roman" w:hAnsi="Times New Roman" w:eastAsia="仿宋_GB2312" w:cs="仿宋_GB2312"/>
          <w:sz w:val="32"/>
          <w:szCs w:val="32"/>
          <w:lang w:eastAsia="zh-CN"/>
        </w:rPr>
        <w:t>科</w:t>
      </w:r>
      <w:r>
        <w:rPr>
          <w:rFonts w:hint="eastAsia" w:ascii="Times New Roman" w:hAnsi="Times New Roman" w:eastAsia="仿宋_GB2312" w:cs="仿宋_GB2312"/>
          <w:sz w:val="32"/>
          <w:szCs w:val="32"/>
        </w:rPr>
        <w:t>电子邮箱(smxllwbgs</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163.com)。</w:t>
      </w:r>
      <w:r>
        <w:rPr>
          <w:rFonts w:hint="eastAsia" w:ascii="Times New Roman" w:hAnsi="Times New Roman" w:eastAsia="仿宋_GB2312" w:cs="仿宋_GB2312"/>
          <w:sz w:val="32"/>
          <w:szCs w:val="32"/>
        </w:rPr>
        <w:fldChar w:fldCharType="end"/>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联系人及电话：</w:t>
      </w:r>
      <w:r>
        <w:rPr>
          <w:rFonts w:hint="eastAsia" w:ascii="Times New Roman" w:hAnsi="Times New Roman" w:eastAsia="仿宋_GB2312" w:cs="仿宋_GB2312"/>
          <w:sz w:val="32"/>
          <w:szCs w:val="32"/>
          <w:lang w:eastAsia="zh-CN"/>
        </w:rPr>
        <w:t>黄聪慧</w:t>
      </w:r>
      <w:r>
        <w:rPr>
          <w:rFonts w:hint="eastAsia" w:ascii="Times New Roman" w:hAnsi="Times New Roman" w:eastAsia="仿宋_GB2312" w:cs="仿宋_GB2312"/>
          <w:sz w:val="32"/>
          <w:szCs w:val="32"/>
          <w:lang w:val="en-US" w:eastAsia="zh-CN"/>
        </w:rPr>
        <w:t xml:space="preserve"> 2182029</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附件：1.养老服务领域诈骗风险隐患摸底排查情况</w:t>
      </w:r>
    </w:p>
    <w:p>
      <w:pPr>
        <w:keepNext w:val="0"/>
        <w:keepLines w:val="0"/>
        <w:pageBreakBefore w:val="0"/>
        <w:kinsoku/>
        <w:wordWrap/>
        <w:overflowPunct/>
        <w:topLinePunct w:val="0"/>
        <w:autoSpaceDE/>
        <w:autoSpaceDN/>
        <w:bidi w:val="0"/>
        <w:adjustRightInd/>
        <w:snapToGrid/>
        <w:spacing w:line="600" w:lineRule="exact"/>
        <w:ind w:firstLine="1920" w:firstLineChars="6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统计表</w:t>
      </w:r>
    </w:p>
    <w:p>
      <w:pPr>
        <w:keepNext w:val="0"/>
        <w:keepLines w:val="0"/>
        <w:pageBreakBefore w:val="0"/>
        <w:kinsoku/>
        <w:wordWrap/>
        <w:overflowPunct/>
        <w:topLinePunct w:val="0"/>
        <w:autoSpaceDE/>
        <w:autoSpaceDN/>
        <w:bidi w:val="0"/>
        <w:adjustRightInd/>
        <w:snapToGrid/>
        <w:spacing w:line="600" w:lineRule="exact"/>
        <w:ind w:left="1920" w:leftChars="500" w:hanging="320" w:hangingChars="1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未经登记从事养老服务经营活动的服务场所风险摸底排查情况统计表</w:t>
      </w:r>
    </w:p>
    <w:p>
      <w:pPr>
        <w:keepNext w:val="0"/>
        <w:keepLines w:val="0"/>
        <w:pageBreakBefore w:val="0"/>
        <w:kinsoku/>
        <w:wordWrap/>
        <w:overflowPunct/>
        <w:topLinePunct w:val="0"/>
        <w:autoSpaceDE/>
        <w:autoSpaceDN/>
        <w:bidi w:val="0"/>
        <w:adjustRightInd/>
        <w:snapToGrid/>
        <w:spacing w:line="600" w:lineRule="exact"/>
        <w:ind w:left="0" w:leftChars="0" w:firstLine="1600" w:firstLineChars="5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3.养老服务领域诈骗风险隐患排查工作进度表</w:t>
      </w:r>
    </w:p>
    <w:p>
      <w:pPr>
        <w:keepNext w:val="0"/>
        <w:keepLines w:val="0"/>
        <w:pageBreakBefore w:val="0"/>
        <w:kinsoku/>
        <w:wordWrap/>
        <w:overflowPunct/>
        <w:topLinePunct w:val="0"/>
        <w:autoSpaceDE/>
        <w:autoSpaceDN/>
        <w:bidi w:val="0"/>
        <w:adjustRightInd/>
        <w:snapToGrid/>
        <w:spacing w:line="600" w:lineRule="exact"/>
        <w:ind w:left="1920" w:leftChars="500" w:hanging="320" w:hangingChars="1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4.养老服务领域诈骗风险隐患“红橙黄”风险管控名单</w:t>
      </w:r>
    </w:p>
    <w:p>
      <w:pPr>
        <w:keepNext w:val="0"/>
        <w:keepLines w:val="0"/>
        <w:pageBreakBefore w:val="0"/>
        <w:kinsoku/>
        <w:wordWrap/>
        <w:overflowPunct/>
        <w:topLinePunct w:val="0"/>
        <w:autoSpaceDE/>
        <w:autoSpaceDN/>
        <w:bidi w:val="0"/>
        <w:adjustRightInd/>
        <w:snapToGrid/>
        <w:spacing w:line="600" w:lineRule="exact"/>
        <w:ind w:left="0" w:leftChars="0" w:firstLine="1600" w:firstLineChars="5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5.附件1填报说明</w:t>
      </w:r>
    </w:p>
    <w:p>
      <w:pPr>
        <w:keepNext w:val="0"/>
        <w:keepLines w:val="0"/>
        <w:pageBreakBefore w:val="0"/>
        <w:kinsoku/>
        <w:wordWrap/>
        <w:overflowPunct/>
        <w:topLinePunct w:val="0"/>
        <w:autoSpaceDE/>
        <w:autoSpaceDN/>
        <w:bidi w:val="0"/>
        <w:adjustRightInd/>
        <w:snapToGrid/>
        <w:spacing w:line="600" w:lineRule="exact"/>
        <w:ind w:left="0" w:leftChars="0" w:firstLine="1600" w:firstLineChars="5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6.附件2填报说明</w:t>
      </w:r>
    </w:p>
    <w:p>
      <w:pPr>
        <w:keepNext w:val="0"/>
        <w:keepLines w:val="0"/>
        <w:pageBreakBefore w:val="0"/>
        <w:kinsoku/>
        <w:wordWrap/>
        <w:overflowPunct/>
        <w:topLinePunct w:val="0"/>
        <w:autoSpaceDE/>
        <w:autoSpaceDN/>
        <w:bidi w:val="0"/>
        <w:adjustRightInd/>
        <w:snapToGrid/>
        <w:spacing w:line="600" w:lineRule="exact"/>
        <w:ind w:left="0" w:leftChars="0" w:firstLine="1600" w:firstLineChars="5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7.附件3填报说明</w:t>
      </w:r>
    </w:p>
    <w:p>
      <w:pPr>
        <w:pStyle w:val="2"/>
        <w:keepNext w:val="0"/>
        <w:keepLines w:val="0"/>
        <w:pageBreakBefore w:val="0"/>
        <w:kinsoku/>
        <w:wordWrap/>
        <w:overflowPunct/>
        <w:topLinePunct w:val="0"/>
        <w:bidi w:val="0"/>
        <w:snapToGrid/>
        <w:spacing w:line="600" w:lineRule="exact"/>
        <w:ind w:left="0" w:leftChars="0"/>
        <w:textAlignment w:val="auto"/>
        <w:rPr>
          <w:rFonts w:hint="eastAsia" w:ascii="Times New Roman" w:hAnsi="Times New Roman" w:cs="仿宋_GB2312"/>
          <w:sz w:val="32"/>
          <w:szCs w:val="32"/>
          <w:lang w:val="en-US" w:eastAsia="zh-CN"/>
        </w:rPr>
      </w:pPr>
      <w:r>
        <w:rPr>
          <w:rFonts w:hint="eastAsia" w:ascii="Times New Roman" w:hAnsi="Times New Roman" w:cs="仿宋_GB2312"/>
          <w:sz w:val="32"/>
          <w:szCs w:val="32"/>
          <w:lang w:val="en-US" w:eastAsia="zh-CN"/>
        </w:rPr>
        <w:t xml:space="preserve"> </w:t>
      </w:r>
    </w:p>
    <w:p>
      <w:pPr>
        <w:pStyle w:val="2"/>
        <w:keepNext w:val="0"/>
        <w:keepLines w:val="0"/>
        <w:pageBreakBefore w:val="0"/>
        <w:kinsoku/>
        <w:wordWrap/>
        <w:overflowPunct/>
        <w:topLinePunct w:val="0"/>
        <w:bidi w:val="0"/>
        <w:snapToGrid/>
        <w:spacing w:line="600" w:lineRule="exact"/>
        <w:ind w:firstLine="5120" w:firstLineChars="1600"/>
        <w:textAlignment w:val="auto"/>
        <w:rPr>
          <w:rFonts w:hint="eastAsia" w:ascii="Times New Roman" w:hAnsi="Times New Roman" w:eastAsia="仿宋_GB2312" w:cs="仿宋_GB2312"/>
          <w:sz w:val="32"/>
          <w:szCs w:val="32"/>
          <w:lang w:val="en-US" w:eastAsia="zh-CN"/>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eastAsia="仿宋_GB2312" w:cs="仿宋_GB2312"/>
          <w:sz w:val="32"/>
          <w:szCs w:val="32"/>
          <w:lang w:val="en-US" w:eastAsia="zh-CN"/>
        </w:rPr>
        <w:t>2022年1月26日</w:t>
      </w:r>
    </w:p>
    <w:tbl>
      <w:tblPr>
        <w:tblStyle w:val="5"/>
        <w:tblW w:w="24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
        <w:gridCol w:w="513"/>
        <w:gridCol w:w="357"/>
        <w:gridCol w:w="3"/>
        <w:gridCol w:w="492"/>
        <w:gridCol w:w="150"/>
        <w:gridCol w:w="495"/>
        <w:gridCol w:w="705"/>
        <w:gridCol w:w="393"/>
        <w:gridCol w:w="177"/>
        <w:gridCol w:w="585"/>
        <w:gridCol w:w="513"/>
        <w:gridCol w:w="42"/>
        <w:gridCol w:w="480"/>
        <w:gridCol w:w="120"/>
        <w:gridCol w:w="690"/>
        <w:gridCol w:w="243"/>
        <w:gridCol w:w="282"/>
        <w:gridCol w:w="120"/>
        <w:gridCol w:w="570"/>
        <w:gridCol w:w="390"/>
        <w:gridCol w:w="330"/>
        <w:gridCol w:w="93"/>
        <w:gridCol w:w="597"/>
        <w:gridCol w:w="690"/>
        <w:gridCol w:w="243"/>
        <w:gridCol w:w="147"/>
        <w:gridCol w:w="495"/>
        <w:gridCol w:w="525"/>
        <w:gridCol w:w="288"/>
        <w:gridCol w:w="12"/>
        <w:gridCol w:w="600"/>
        <w:gridCol w:w="300"/>
        <w:gridCol w:w="558"/>
        <w:gridCol w:w="117"/>
        <w:gridCol w:w="645"/>
        <w:gridCol w:w="180"/>
        <w:gridCol w:w="318"/>
        <w:gridCol w:w="162"/>
        <w:gridCol w:w="210"/>
        <w:gridCol w:w="633"/>
        <w:gridCol w:w="9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720" w:hRule="atLeast"/>
        </w:trPr>
        <w:tc>
          <w:tcPr>
            <w:tcW w:w="24408" w:type="dxa"/>
            <w:gridSpan w:val="41"/>
            <w:tcBorders>
              <w:top w:val="nil"/>
              <w:left w:val="nil"/>
              <w:bottom w:val="nil"/>
              <w:right w:val="nil"/>
            </w:tcBorders>
            <w:noWrap/>
            <w:vAlign w:val="center"/>
          </w:tcPr>
          <w:p>
            <w:pPr>
              <w:keepNext w:val="0"/>
              <w:keepLines w:val="0"/>
              <w:widowControl/>
              <w:suppressLineNumbers w:val="0"/>
              <w:jc w:val="both"/>
              <w:textAlignment w:val="center"/>
              <w:rPr>
                <w:rFonts w:hint="eastAsia" w:ascii="Times New Roman" w:hAnsi="Times New Roman" w:eastAsia="黑体" w:cs="黑体"/>
                <w:i w:val="0"/>
                <w:color w:val="000000"/>
                <w:kern w:val="0"/>
                <w:sz w:val="32"/>
                <w:szCs w:val="32"/>
                <w:u w:val="none"/>
                <w:lang w:val="en-US" w:eastAsia="zh-CN" w:bidi="ar"/>
              </w:rPr>
            </w:pPr>
            <w:r>
              <w:rPr>
                <w:rFonts w:hint="eastAsia" w:ascii="Times New Roman" w:hAnsi="Times New Roman" w:eastAsia="黑体" w:cs="黑体"/>
                <w:i w:val="0"/>
                <w:color w:val="000000"/>
                <w:kern w:val="0"/>
                <w:sz w:val="32"/>
                <w:szCs w:val="32"/>
                <w:u w:val="none"/>
                <w:lang w:val="en-US" w:eastAsia="zh-CN" w:bidi="ar"/>
              </w:rPr>
              <w:t>附件1</w:t>
            </w:r>
          </w:p>
          <w:p>
            <w:pPr>
              <w:keepNext w:val="0"/>
              <w:keepLines w:val="0"/>
              <w:widowControl/>
              <w:suppressLineNumbers w:val="0"/>
              <w:ind w:firstLine="2200" w:firstLineChars="500"/>
              <w:jc w:val="both"/>
              <w:textAlignment w:val="center"/>
              <w:rPr>
                <w:rFonts w:ascii="Times New Roman" w:hAnsi="Times New Roman" w:eastAsia="方正小标宋简体" w:cs="方正小标宋简体"/>
                <w:i w:val="0"/>
                <w:color w:val="000000"/>
                <w:sz w:val="36"/>
                <w:szCs w:val="36"/>
                <w:u w:val="none"/>
              </w:rPr>
            </w:pPr>
            <w:r>
              <w:rPr>
                <w:rFonts w:hint="eastAsia" w:ascii="Times New Roman" w:hAnsi="Times New Roman" w:eastAsia="方正小标宋简体" w:cs="方正小标宋简体"/>
                <w:i w:val="0"/>
                <w:color w:val="000000"/>
                <w:kern w:val="0"/>
                <w:sz w:val="44"/>
                <w:szCs w:val="44"/>
                <w:u w:val="none"/>
                <w:lang w:val="en-US" w:eastAsia="zh-CN" w:bidi="ar"/>
              </w:rPr>
              <w:t>养老服务领域诈骗风险隐患摸底排查情况统计表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15" w:hRule="atLeast"/>
        </w:trPr>
        <w:tc>
          <w:tcPr>
            <w:tcW w:w="24408" w:type="dxa"/>
            <w:gridSpan w:val="41"/>
            <w:tcBorders>
              <w:top w:val="nil"/>
              <w:left w:val="nil"/>
              <w:bottom w:val="nil"/>
              <w:right w:val="nil"/>
            </w:tcBorders>
            <w:noWrap/>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单位：人、万元                                                                                                                                                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2" w:type="dxa"/>
          <w:wAfter w:w="10788" w:type="dxa"/>
          <w:trHeight w:val="1380" w:hRule="atLeast"/>
        </w:trPr>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序号</w:t>
            </w:r>
          </w:p>
        </w:tc>
        <w:tc>
          <w:tcPr>
            <w:tcW w:w="6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养老服务 机构名称</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兴办     主体</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是否设有分公司、服务网点等</w:t>
            </w:r>
          </w:p>
        </w:tc>
        <w:tc>
          <w:tcPr>
            <w:tcW w:w="5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机构     性质</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机构设施 性质</w:t>
            </w:r>
          </w:p>
        </w:tc>
        <w:tc>
          <w:tcPr>
            <w:tcW w:w="5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经营方式</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关联       公司</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是否备案</w:t>
            </w:r>
          </w:p>
        </w:tc>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床位数量</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收住老年人数量</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营销     方式</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是否收取大额预付费</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收费名目</w:t>
            </w:r>
          </w:p>
        </w:tc>
        <w:tc>
          <w:tcPr>
            <w:tcW w:w="8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收费标准、优惠条件</w:t>
            </w:r>
          </w:p>
        </w:tc>
        <w:tc>
          <w:tcPr>
            <w:tcW w:w="8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预付费涉及人数、资金总额</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预付费资金使用、管理情况</w:t>
            </w: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诉讼及投诉举报情况</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信用惩戒情况</w:t>
            </w:r>
          </w:p>
        </w:tc>
        <w:tc>
          <w:tcPr>
            <w:tcW w:w="6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牵头摸排单位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2" w:type="dxa"/>
          <w:wAfter w:w="10788" w:type="dxa"/>
          <w:trHeight w:val="780" w:hRule="atLeast"/>
        </w:trPr>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4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57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55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88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6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2" w:type="dxa"/>
          <w:wAfter w:w="10788" w:type="dxa"/>
          <w:trHeight w:val="780" w:hRule="atLeast"/>
        </w:trPr>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4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57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55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88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6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2" w:type="dxa"/>
          <w:wAfter w:w="10788" w:type="dxa"/>
          <w:trHeight w:val="780" w:hRule="atLeast"/>
        </w:trPr>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4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57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55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88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6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2" w:type="dxa"/>
          <w:wAfter w:w="10788" w:type="dxa"/>
          <w:trHeight w:val="780" w:hRule="atLeast"/>
        </w:trPr>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4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57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55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88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6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2" w:type="dxa"/>
          <w:wAfter w:w="10788" w:type="dxa"/>
          <w:trHeight w:val="780" w:hRule="atLeast"/>
        </w:trPr>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4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57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55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88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82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6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78" w:type="dxa"/>
          <w:trHeight w:val="560" w:hRule="atLeast"/>
        </w:trPr>
        <w:tc>
          <w:tcPr>
            <w:tcW w:w="1377" w:type="dxa"/>
            <w:gridSpan w:val="5"/>
            <w:tcBorders>
              <w:top w:val="nil"/>
              <w:left w:val="nil"/>
              <w:bottom w:val="nil"/>
              <w:right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黑体" w:cs="黑体"/>
                <w:i w:val="0"/>
                <w:color w:val="000000"/>
                <w:kern w:val="0"/>
                <w:sz w:val="32"/>
                <w:szCs w:val="32"/>
                <w:u w:val="none"/>
                <w:lang w:val="en-US" w:eastAsia="zh-CN" w:bidi="ar"/>
              </w:rPr>
              <w:t>附件2</w:t>
            </w:r>
          </w:p>
        </w:tc>
        <w:tc>
          <w:tcPr>
            <w:tcW w:w="645" w:type="dxa"/>
            <w:gridSpan w:val="2"/>
            <w:tcBorders>
              <w:top w:val="nil"/>
              <w:left w:val="nil"/>
              <w:bottom w:val="nil"/>
              <w:right w:val="nil"/>
            </w:tcBorders>
            <w:noWrap/>
            <w:vAlign w:val="center"/>
          </w:tcPr>
          <w:p>
            <w:pPr>
              <w:rPr>
                <w:rFonts w:hint="eastAsia" w:ascii="Times New Roman" w:hAnsi="Times New Roman" w:eastAsia="宋体" w:cs="宋体"/>
                <w:i w:val="0"/>
                <w:color w:val="000000"/>
                <w:sz w:val="24"/>
                <w:szCs w:val="24"/>
                <w:u w:val="none"/>
              </w:rPr>
            </w:pPr>
          </w:p>
        </w:tc>
        <w:tc>
          <w:tcPr>
            <w:tcW w:w="705" w:type="dxa"/>
            <w:tcBorders>
              <w:top w:val="nil"/>
              <w:left w:val="nil"/>
              <w:bottom w:val="nil"/>
              <w:right w:val="nil"/>
            </w:tcBorders>
            <w:noWrap/>
            <w:vAlign w:val="center"/>
          </w:tcPr>
          <w:p>
            <w:pPr>
              <w:rPr>
                <w:rFonts w:hint="eastAsia" w:ascii="Times New Roman" w:hAnsi="Times New Roman" w:eastAsia="宋体" w:cs="宋体"/>
                <w:i w:val="0"/>
                <w:color w:val="000000"/>
                <w:sz w:val="24"/>
                <w:szCs w:val="24"/>
                <w:u w:val="none"/>
              </w:rPr>
            </w:pPr>
          </w:p>
        </w:tc>
        <w:tc>
          <w:tcPr>
            <w:tcW w:w="1710" w:type="dxa"/>
            <w:gridSpan w:val="5"/>
            <w:tcBorders>
              <w:top w:val="nil"/>
              <w:left w:val="nil"/>
              <w:bottom w:val="nil"/>
              <w:right w:val="nil"/>
            </w:tcBorders>
            <w:noWrap/>
            <w:vAlign w:val="center"/>
          </w:tcPr>
          <w:p>
            <w:pPr>
              <w:rPr>
                <w:rFonts w:hint="eastAsia" w:ascii="Times New Roman" w:hAnsi="Times New Roman" w:eastAsia="宋体" w:cs="宋体"/>
                <w:i w:val="0"/>
                <w:color w:val="000000"/>
                <w:sz w:val="24"/>
                <w:szCs w:val="24"/>
                <w:u w:val="none"/>
              </w:rPr>
            </w:pPr>
          </w:p>
        </w:tc>
        <w:tc>
          <w:tcPr>
            <w:tcW w:w="600" w:type="dxa"/>
            <w:gridSpan w:val="2"/>
            <w:tcBorders>
              <w:top w:val="nil"/>
              <w:left w:val="nil"/>
              <w:bottom w:val="nil"/>
              <w:right w:val="nil"/>
            </w:tcBorders>
            <w:noWrap/>
            <w:vAlign w:val="center"/>
          </w:tcPr>
          <w:p>
            <w:pPr>
              <w:rPr>
                <w:rFonts w:hint="eastAsia" w:ascii="Times New Roman" w:hAnsi="Times New Roman" w:eastAsia="宋体" w:cs="宋体"/>
                <w:i w:val="0"/>
                <w:color w:val="000000"/>
                <w:sz w:val="24"/>
                <w:szCs w:val="24"/>
                <w:u w:val="none"/>
              </w:rPr>
            </w:pPr>
          </w:p>
        </w:tc>
        <w:tc>
          <w:tcPr>
            <w:tcW w:w="690" w:type="dxa"/>
            <w:tcBorders>
              <w:top w:val="nil"/>
              <w:left w:val="nil"/>
              <w:bottom w:val="nil"/>
              <w:right w:val="nil"/>
            </w:tcBorders>
            <w:noWrap/>
            <w:vAlign w:val="center"/>
          </w:tcPr>
          <w:p>
            <w:pPr>
              <w:rPr>
                <w:rFonts w:hint="eastAsia" w:ascii="Times New Roman" w:hAnsi="Times New Roman" w:eastAsia="宋体" w:cs="宋体"/>
                <w:i w:val="0"/>
                <w:color w:val="000000"/>
                <w:sz w:val="24"/>
                <w:szCs w:val="24"/>
                <w:u w:val="none"/>
              </w:rPr>
            </w:pPr>
          </w:p>
        </w:tc>
        <w:tc>
          <w:tcPr>
            <w:tcW w:w="645" w:type="dxa"/>
            <w:gridSpan w:val="3"/>
            <w:tcBorders>
              <w:top w:val="nil"/>
              <w:left w:val="nil"/>
              <w:bottom w:val="nil"/>
              <w:right w:val="nil"/>
            </w:tcBorders>
            <w:noWrap/>
            <w:vAlign w:val="center"/>
          </w:tcPr>
          <w:p>
            <w:pPr>
              <w:rPr>
                <w:rFonts w:hint="eastAsia" w:ascii="Times New Roman" w:hAnsi="Times New Roman" w:eastAsia="宋体" w:cs="宋体"/>
                <w:i w:val="0"/>
                <w:color w:val="000000"/>
                <w:sz w:val="24"/>
                <w:szCs w:val="24"/>
                <w:u w:val="none"/>
              </w:rPr>
            </w:pPr>
          </w:p>
        </w:tc>
        <w:tc>
          <w:tcPr>
            <w:tcW w:w="960" w:type="dxa"/>
            <w:gridSpan w:val="2"/>
            <w:tcBorders>
              <w:top w:val="nil"/>
              <w:left w:val="nil"/>
              <w:bottom w:val="nil"/>
              <w:right w:val="nil"/>
            </w:tcBorders>
            <w:noWrap/>
            <w:vAlign w:val="center"/>
          </w:tcPr>
          <w:p>
            <w:pPr>
              <w:rPr>
                <w:rFonts w:hint="eastAsia" w:ascii="Times New Roman" w:hAnsi="Times New Roman" w:eastAsia="宋体" w:cs="宋体"/>
                <w:i w:val="0"/>
                <w:color w:val="000000"/>
                <w:sz w:val="24"/>
                <w:szCs w:val="24"/>
                <w:u w:val="none"/>
              </w:rPr>
            </w:pPr>
          </w:p>
        </w:tc>
        <w:tc>
          <w:tcPr>
            <w:tcW w:w="1020" w:type="dxa"/>
            <w:gridSpan w:val="3"/>
            <w:tcBorders>
              <w:top w:val="nil"/>
              <w:left w:val="nil"/>
              <w:bottom w:val="nil"/>
              <w:right w:val="nil"/>
            </w:tcBorders>
            <w:noWrap/>
            <w:vAlign w:val="center"/>
          </w:tcPr>
          <w:p>
            <w:pPr>
              <w:rPr>
                <w:rFonts w:hint="eastAsia" w:ascii="Times New Roman" w:hAnsi="Times New Roman" w:eastAsia="宋体" w:cs="宋体"/>
                <w:i w:val="0"/>
                <w:color w:val="000000"/>
                <w:sz w:val="24"/>
                <w:szCs w:val="24"/>
                <w:u w:val="none"/>
              </w:rPr>
            </w:pPr>
          </w:p>
        </w:tc>
        <w:tc>
          <w:tcPr>
            <w:tcW w:w="1080" w:type="dxa"/>
            <w:gridSpan w:val="3"/>
            <w:tcBorders>
              <w:top w:val="nil"/>
              <w:left w:val="nil"/>
              <w:bottom w:val="nil"/>
              <w:right w:val="nil"/>
            </w:tcBorders>
            <w:noWrap/>
            <w:vAlign w:val="center"/>
          </w:tcPr>
          <w:p>
            <w:pPr>
              <w:rPr>
                <w:rFonts w:hint="eastAsia" w:ascii="Times New Roman" w:hAnsi="Times New Roman" w:eastAsia="宋体" w:cs="宋体"/>
                <w:i w:val="0"/>
                <w:color w:val="000000"/>
                <w:sz w:val="24"/>
                <w:szCs w:val="24"/>
                <w:u w:val="none"/>
              </w:rPr>
            </w:pPr>
          </w:p>
        </w:tc>
        <w:tc>
          <w:tcPr>
            <w:tcW w:w="1020" w:type="dxa"/>
            <w:gridSpan w:val="2"/>
            <w:tcBorders>
              <w:top w:val="nil"/>
              <w:left w:val="nil"/>
              <w:bottom w:val="nil"/>
              <w:right w:val="nil"/>
            </w:tcBorders>
            <w:noWrap/>
            <w:vAlign w:val="center"/>
          </w:tcPr>
          <w:p>
            <w:pPr>
              <w:rPr>
                <w:rFonts w:hint="eastAsia" w:ascii="Times New Roman" w:hAnsi="Times New Roman" w:eastAsia="宋体" w:cs="宋体"/>
                <w:i w:val="0"/>
                <w:color w:val="000000"/>
                <w:sz w:val="24"/>
                <w:szCs w:val="24"/>
                <w:u w:val="none"/>
              </w:rPr>
            </w:pPr>
          </w:p>
        </w:tc>
        <w:tc>
          <w:tcPr>
            <w:tcW w:w="900" w:type="dxa"/>
            <w:gridSpan w:val="3"/>
            <w:tcBorders>
              <w:top w:val="nil"/>
              <w:left w:val="nil"/>
              <w:bottom w:val="nil"/>
              <w:right w:val="nil"/>
            </w:tcBorders>
            <w:noWrap/>
            <w:vAlign w:val="center"/>
          </w:tcPr>
          <w:p>
            <w:pPr>
              <w:rPr>
                <w:rFonts w:hint="eastAsia" w:ascii="Times New Roman" w:hAnsi="Times New Roman" w:eastAsia="宋体" w:cs="宋体"/>
                <w:i w:val="0"/>
                <w:color w:val="000000"/>
                <w:sz w:val="24"/>
                <w:szCs w:val="24"/>
                <w:u w:val="none"/>
              </w:rPr>
            </w:pPr>
          </w:p>
        </w:tc>
        <w:tc>
          <w:tcPr>
            <w:tcW w:w="975" w:type="dxa"/>
            <w:gridSpan w:val="3"/>
            <w:tcBorders>
              <w:top w:val="nil"/>
              <w:left w:val="nil"/>
              <w:bottom w:val="nil"/>
              <w:right w:val="nil"/>
            </w:tcBorders>
            <w:noWrap/>
            <w:vAlign w:val="center"/>
          </w:tcPr>
          <w:p>
            <w:pPr>
              <w:rPr>
                <w:rFonts w:hint="eastAsia" w:ascii="Times New Roman" w:hAnsi="Times New Roman" w:eastAsia="宋体" w:cs="宋体"/>
                <w:i w:val="0"/>
                <w:color w:val="000000"/>
                <w:sz w:val="24"/>
                <w:szCs w:val="24"/>
                <w:u w:val="none"/>
              </w:rPr>
            </w:pPr>
          </w:p>
        </w:tc>
        <w:tc>
          <w:tcPr>
            <w:tcW w:w="825" w:type="dxa"/>
            <w:gridSpan w:val="2"/>
            <w:tcBorders>
              <w:top w:val="nil"/>
              <w:left w:val="nil"/>
              <w:bottom w:val="nil"/>
              <w:right w:val="nil"/>
            </w:tcBorders>
            <w:noWrap/>
            <w:vAlign w:val="center"/>
          </w:tcPr>
          <w:p>
            <w:pPr>
              <w:rPr>
                <w:rFonts w:hint="eastAsia" w:ascii="Times New Roman" w:hAnsi="Times New Roman" w:eastAsia="宋体" w:cs="宋体"/>
                <w:i w:val="0"/>
                <w:color w:val="000000"/>
                <w:sz w:val="24"/>
                <w:szCs w:val="24"/>
                <w:u w:val="none"/>
              </w:rPr>
            </w:pPr>
          </w:p>
        </w:tc>
        <w:tc>
          <w:tcPr>
            <w:tcW w:w="690" w:type="dxa"/>
            <w:gridSpan w:val="3"/>
            <w:tcBorders>
              <w:top w:val="nil"/>
              <w:left w:val="nil"/>
              <w:bottom w:val="nil"/>
              <w:right w:val="nil"/>
            </w:tcBorders>
            <w:noWrap/>
            <w:vAlign w:val="center"/>
          </w:tcPr>
          <w:p>
            <w:pPr>
              <w:rPr>
                <w:rFonts w:hint="eastAsia" w:ascii="Times New Roman" w:hAnsi="Times New Roman"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78" w:type="dxa"/>
          <w:trHeight w:val="720" w:hRule="atLeast"/>
        </w:trPr>
        <w:tc>
          <w:tcPr>
            <w:tcW w:w="13842" w:type="dxa"/>
            <w:gridSpan w:val="40"/>
            <w:tcBorders>
              <w:top w:val="nil"/>
              <w:left w:val="nil"/>
              <w:bottom w:val="nil"/>
              <w:right w:val="nil"/>
            </w:tcBorders>
            <w:noWrap/>
            <w:vAlign w:val="center"/>
          </w:tcPr>
          <w:p>
            <w:pPr>
              <w:keepNext w:val="0"/>
              <w:keepLines w:val="0"/>
              <w:widowControl/>
              <w:suppressLineNumbers w:val="0"/>
              <w:jc w:val="center"/>
              <w:textAlignment w:val="center"/>
              <w:rPr>
                <w:rFonts w:ascii="Times New Roman" w:hAnsi="Times New Roman" w:eastAsia="方正小标宋简体" w:cs="方正小标宋简体"/>
                <w:i w:val="0"/>
                <w:color w:val="000000"/>
                <w:sz w:val="36"/>
                <w:szCs w:val="36"/>
                <w:u w:val="none"/>
              </w:rPr>
            </w:pPr>
            <w:r>
              <w:rPr>
                <w:rFonts w:hint="eastAsia" w:ascii="Times New Roman" w:hAnsi="Times New Roman" w:eastAsia="方正小标宋简体" w:cs="方正小标宋简体"/>
                <w:i w:val="0"/>
                <w:color w:val="000000"/>
                <w:kern w:val="0"/>
                <w:sz w:val="44"/>
                <w:szCs w:val="44"/>
                <w:u w:val="none"/>
                <w:lang w:val="en-US" w:eastAsia="zh-CN" w:bidi="ar"/>
              </w:rPr>
              <w:t xml:space="preserve"> 未经登记从事养老服务经营活动的服务场所风险摸底排查情况统计表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78" w:type="dxa"/>
          <w:trHeight w:val="315" w:hRule="atLeast"/>
        </w:trPr>
        <w:tc>
          <w:tcPr>
            <w:tcW w:w="13842" w:type="dxa"/>
            <w:gridSpan w:val="40"/>
            <w:tcBorders>
              <w:top w:val="nil"/>
              <w:left w:val="nil"/>
              <w:bottom w:val="nil"/>
              <w:right w:val="nil"/>
            </w:tcBorders>
            <w:noWrap/>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 xml:space="preserve">                                                                                                                                                                                             单位：人、万元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78" w:type="dxa"/>
          <w:trHeight w:val="1380" w:hRule="atLeast"/>
        </w:trPr>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序号</w:t>
            </w:r>
          </w:p>
        </w:tc>
        <w:tc>
          <w:tcPr>
            <w:tcW w:w="85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服务场所名称</w:t>
            </w:r>
          </w:p>
        </w:tc>
        <w:tc>
          <w:tcPr>
            <w:tcW w:w="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对外宣传性质</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兴办     主体</w:t>
            </w:r>
          </w:p>
        </w:tc>
        <w:tc>
          <w:tcPr>
            <w:tcW w:w="171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是否设有分公司、服务网点等</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床位数量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收住老年人数量</w:t>
            </w:r>
          </w:p>
        </w:tc>
        <w:tc>
          <w:tcPr>
            <w:tcW w:w="6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营销方式</w:t>
            </w: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是否收取大额预付费</w:t>
            </w:r>
          </w:p>
        </w:tc>
        <w:tc>
          <w:tcPr>
            <w:tcW w:w="10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收费名目</w:t>
            </w:r>
          </w:p>
        </w:tc>
        <w:tc>
          <w:tcPr>
            <w:tcW w:w="10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收费标准、优惠条件</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预付费涉及人数、资金总额</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预付费资金使用情况</w:t>
            </w:r>
          </w:p>
        </w:tc>
        <w:tc>
          <w:tcPr>
            <w:tcW w:w="9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诉讼及投诉举报情况</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信用惩戒情况</w:t>
            </w:r>
          </w:p>
        </w:tc>
        <w:tc>
          <w:tcPr>
            <w:tcW w:w="6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牵头摸排单位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78" w:type="dxa"/>
          <w:trHeight w:val="780" w:hRule="atLeast"/>
        </w:trPr>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852"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4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710"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4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02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97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9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78" w:type="dxa"/>
          <w:trHeight w:val="780" w:hRule="atLeast"/>
        </w:trPr>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852"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4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710"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4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02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97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9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78" w:type="dxa"/>
          <w:trHeight w:val="780" w:hRule="atLeast"/>
        </w:trPr>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852"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4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710"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4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02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97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9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78" w:type="dxa"/>
          <w:trHeight w:val="780" w:hRule="atLeast"/>
        </w:trPr>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852"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4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710"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4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02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97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9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78" w:type="dxa"/>
          <w:trHeight w:val="780" w:hRule="atLeast"/>
        </w:trPr>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852"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4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710"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4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02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97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69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45" w:type="dxa"/>
          <w:trHeight w:val="560" w:hRule="atLeast"/>
        </w:trPr>
        <w:tc>
          <w:tcPr>
            <w:tcW w:w="3120"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Times New Roman" w:hAnsi="Times New Roman"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黑体" w:cs="黑体"/>
                <w:i w:val="0"/>
                <w:color w:val="000000"/>
                <w:kern w:val="0"/>
                <w:sz w:val="32"/>
                <w:szCs w:val="32"/>
                <w:u w:val="none"/>
                <w:lang w:val="en-US" w:eastAsia="zh-CN" w:bidi="ar"/>
              </w:rPr>
              <w:t>附件3</w:t>
            </w:r>
          </w:p>
        </w:tc>
        <w:tc>
          <w:tcPr>
            <w:tcW w:w="1275" w:type="dxa"/>
            <w:gridSpan w:val="3"/>
            <w:tcBorders>
              <w:top w:val="nil"/>
              <w:left w:val="nil"/>
              <w:bottom w:val="nil"/>
              <w:right w:val="nil"/>
            </w:tcBorders>
            <w:noWrap/>
            <w:vAlign w:val="center"/>
          </w:tcPr>
          <w:p>
            <w:pPr>
              <w:rPr>
                <w:rFonts w:hint="eastAsia" w:ascii="Times New Roman" w:hAnsi="Times New Roman" w:eastAsia="宋体" w:cs="宋体"/>
                <w:i w:val="0"/>
                <w:color w:val="000000"/>
                <w:sz w:val="24"/>
                <w:szCs w:val="24"/>
                <w:u w:val="none"/>
              </w:rPr>
            </w:pPr>
          </w:p>
        </w:tc>
        <w:tc>
          <w:tcPr>
            <w:tcW w:w="1575" w:type="dxa"/>
            <w:gridSpan w:val="5"/>
            <w:tcBorders>
              <w:top w:val="nil"/>
              <w:left w:val="nil"/>
              <w:bottom w:val="nil"/>
              <w:right w:val="nil"/>
            </w:tcBorders>
            <w:noWrap/>
            <w:vAlign w:val="center"/>
          </w:tcPr>
          <w:p>
            <w:pPr>
              <w:rPr>
                <w:rFonts w:hint="eastAsia" w:ascii="Times New Roman" w:hAnsi="Times New Roman" w:eastAsia="宋体" w:cs="宋体"/>
                <w:i w:val="0"/>
                <w:color w:val="000000"/>
                <w:sz w:val="24"/>
                <w:szCs w:val="24"/>
                <w:u w:val="none"/>
              </w:rPr>
            </w:pPr>
          </w:p>
        </w:tc>
        <w:tc>
          <w:tcPr>
            <w:tcW w:w="1785" w:type="dxa"/>
            <w:gridSpan w:val="6"/>
            <w:tcBorders>
              <w:top w:val="nil"/>
              <w:left w:val="nil"/>
              <w:bottom w:val="nil"/>
              <w:right w:val="nil"/>
            </w:tcBorders>
            <w:noWrap/>
            <w:vAlign w:val="center"/>
          </w:tcPr>
          <w:p>
            <w:pPr>
              <w:rPr>
                <w:rFonts w:hint="eastAsia" w:ascii="Times New Roman" w:hAnsi="Times New Roman" w:eastAsia="宋体" w:cs="宋体"/>
                <w:i w:val="0"/>
                <w:color w:val="000000"/>
                <w:sz w:val="24"/>
                <w:szCs w:val="24"/>
                <w:u w:val="none"/>
              </w:rPr>
            </w:pPr>
          </w:p>
        </w:tc>
        <w:tc>
          <w:tcPr>
            <w:tcW w:w="1530" w:type="dxa"/>
            <w:gridSpan w:val="3"/>
            <w:tcBorders>
              <w:top w:val="nil"/>
              <w:left w:val="nil"/>
              <w:bottom w:val="nil"/>
              <w:right w:val="nil"/>
            </w:tcBorders>
            <w:noWrap/>
            <w:vAlign w:val="center"/>
          </w:tcPr>
          <w:p>
            <w:pPr>
              <w:rPr>
                <w:rFonts w:hint="eastAsia" w:ascii="Times New Roman" w:hAnsi="Times New Roman" w:eastAsia="宋体" w:cs="宋体"/>
                <w:i w:val="0"/>
                <w:color w:val="000000"/>
                <w:sz w:val="24"/>
                <w:szCs w:val="24"/>
                <w:u w:val="none"/>
              </w:rPr>
            </w:pPr>
          </w:p>
        </w:tc>
        <w:tc>
          <w:tcPr>
            <w:tcW w:w="1455" w:type="dxa"/>
            <w:gridSpan w:val="4"/>
            <w:tcBorders>
              <w:top w:val="nil"/>
              <w:left w:val="nil"/>
              <w:bottom w:val="nil"/>
              <w:right w:val="nil"/>
            </w:tcBorders>
            <w:noWrap/>
            <w:vAlign w:val="center"/>
          </w:tcPr>
          <w:p>
            <w:pPr>
              <w:rPr>
                <w:rFonts w:hint="eastAsia" w:ascii="Times New Roman" w:hAnsi="Times New Roman" w:eastAsia="宋体" w:cs="宋体"/>
                <w:i w:val="0"/>
                <w:color w:val="000000"/>
                <w:sz w:val="24"/>
                <w:szCs w:val="24"/>
                <w:u w:val="none"/>
              </w:rPr>
            </w:pPr>
          </w:p>
        </w:tc>
        <w:tc>
          <w:tcPr>
            <w:tcW w:w="1470" w:type="dxa"/>
            <w:gridSpan w:val="4"/>
            <w:tcBorders>
              <w:top w:val="nil"/>
              <w:left w:val="nil"/>
              <w:bottom w:val="nil"/>
              <w:right w:val="nil"/>
            </w:tcBorders>
            <w:noWrap/>
            <w:vAlign w:val="center"/>
          </w:tcPr>
          <w:p>
            <w:pPr>
              <w:rPr>
                <w:rFonts w:hint="eastAsia" w:ascii="Times New Roman" w:hAnsi="Times New Roman" w:eastAsia="宋体" w:cs="宋体"/>
                <w:i w:val="0"/>
                <w:color w:val="000000"/>
                <w:sz w:val="24"/>
                <w:szCs w:val="24"/>
                <w:u w:val="none"/>
              </w:rPr>
            </w:pPr>
          </w:p>
        </w:tc>
        <w:tc>
          <w:tcPr>
            <w:tcW w:w="1260" w:type="dxa"/>
            <w:gridSpan w:val="4"/>
            <w:tcBorders>
              <w:top w:val="nil"/>
              <w:left w:val="nil"/>
              <w:bottom w:val="nil"/>
              <w:right w:val="nil"/>
            </w:tcBorders>
            <w:noWrap/>
            <w:vAlign w:val="center"/>
          </w:tcPr>
          <w:p>
            <w:pPr>
              <w:rPr>
                <w:rFonts w:hint="eastAsia" w:ascii="Times New Roman" w:hAnsi="Times New Roman" w:eastAsia="宋体" w:cs="宋体"/>
                <w:i w:val="0"/>
                <w:color w:val="000000"/>
                <w:sz w:val="24"/>
                <w:szCs w:val="24"/>
                <w:u w:val="none"/>
              </w:rPr>
            </w:pPr>
          </w:p>
        </w:tc>
        <w:tc>
          <w:tcPr>
            <w:tcW w:w="1005" w:type="dxa"/>
            <w:gridSpan w:val="3"/>
            <w:tcBorders>
              <w:top w:val="nil"/>
              <w:left w:val="nil"/>
              <w:bottom w:val="nil"/>
              <w:right w:val="nil"/>
            </w:tcBorders>
            <w:noWrap/>
            <w:vAlign w:val="center"/>
          </w:tcPr>
          <w:p>
            <w:pPr>
              <w:rPr>
                <w:rFonts w:hint="eastAsia" w:ascii="Times New Roman" w:hAnsi="Times New Roman"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45" w:type="dxa"/>
          <w:trHeight w:val="720" w:hRule="atLeast"/>
        </w:trPr>
        <w:tc>
          <w:tcPr>
            <w:tcW w:w="14475" w:type="dxa"/>
            <w:gridSpan w:val="41"/>
            <w:tcBorders>
              <w:top w:val="nil"/>
              <w:left w:val="nil"/>
              <w:bottom w:val="nil"/>
              <w:right w:val="nil"/>
            </w:tcBorders>
            <w:noWrap/>
            <w:vAlign w:val="center"/>
          </w:tcPr>
          <w:p>
            <w:pPr>
              <w:keepNext w:val="0"/>
              <w:keepLines w:val="0"/>
              <w:widowControl/>
              <w:suppressLineNumbers w:val="0"/>
              <w:jc w:val="center"/>
              <w:textAlignment w:val="center"/>
              <w:rPr>
                <w:rFonts w:ascii="Times New Roman" w:hAnsi="Times New Roman" w:eastAsia="方正小标宋简体" w:cs="方正小标宋简体"/>
                <w:i w:val="0"/>
                <w:color w:val="000000"/>
                <w:sz w:val="36"/>
                <w:szCs w:val="36"/>
                <w:u w:val="none"/>
              </w:rPr>
            </w:pPr>
            <w:r>
              <w:rPr>
                <w:rFonts w:hint="eastAsia" w:ascii="Times New Roman" w:hAnsi="Times New Roman" w:eastAsia="方正小标宋简体" w:cs="方正小标宋简体"/>
                <w:i w:val="0"/>
                <w:color w:val="000000"/>
                <w:kern w:val="0"/>
                <w:sz w:val="44"/>
                <w:szCs w:val="44"/>
                <w:u w:val="none"/>
                <w:lang w:val="en-US" w:eastAsia="zh-CN" w:bidi="ar"/>
              </w:rPr>
              <w:t>养老服务领域诈骗风险隐患“红橙黄”风险管控名单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45" w:type="dxa"/>
          <w:trHeight w:val="420" w:hRule="atLeast"/>
        </w:trPr>
        <w:tc>
          <w:tcPr>
            <w:tcW w:w="14475" w:type="dxa"/>
            <w:gridSpan w:val="41"/>
            <w:tcBorders>
              <w:top w:val="nil"/>
              <w:left w:val="nil"/>
              <w:bottom w:val="nil"/>
              <w:right w:val="nil"/>
            </w:tcBorders>
            <w:noWrap/>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 xml:space="preserve">   填报单位（盖章）：  </w:t>
            </w:r>
            <w:r>
              <w:rPr>
                <w:rStyle w:val="7"/>
                <w:rFonts w:ascii="Times New Roman" w:hAnsi="Times New Roman"/>
                <w:lang w:val="en-US" w:eastAsia="zh-CN" w:bidi="ar"/>
              </w:rPr>
              <w:t xml:space="preserve">                        </w:t>
            </w:r>
            <w:r>
              <w:rPr>
                <w:rStyle w:val="8"/>
                <w:rFonts w:ascii="Times New Roman" w:hAnsi="Times New Roman"/>
                <w:lang w:val="en-US" w:eastAsia="zh-CN" w:bidi="ar"/>
              </w:rPr>
              <w:t xml:space="preserve"> 民政局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45" w:type="dxa"/>
          <w:trHeight w:val="1380" w:hRule="atLeast"/>
        </w:trPr>
        <w:tc>
          <w:tcPr>
            <w:tcW w:w="88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序号</w:t>
            </w:r>
          </w:p>
        </w:tc>
        <w:tc>
          <w:tcPr>
            <w:tcW w:w="223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养老服务机构及服务场所名称</w:t>
            </w:r>
          </w:p>
        </w:tc>
        <w:tc>
          <w:tcPr>
            <w:tcW w:w="12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类别</w:t>
            </w:r>
          </w:p>
        </w:tc>
        <w:tc>
          <w:tcPr>
            <w:tcW w:w="157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风险隐患点</w:t>
            </w:r>
          </w:p>
        </w:tc>
        <w:tc>
          <w:tcPr>
            <w:tcW w:w="178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风险隐患等级</w:t>
            </w:r>
          </w:p>
        </w:tc>
        <w:tc>
          <w:tcPr>
            <w:tcW w:w="153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整治措施</w:t>
            </w:r>
          </w:p>
        </w:tc>
        <w:tc>
          <w:tcPr>
            <w:tcW w:w="145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是否立案</w:t>
            </w:r>
          </w:p>
        </w:tc>
        <w:tc>
          <w:tcPr>
            <w:tcW w:w="147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立案时间</w:t>
            </w:r>
          </w:p>
        </w:tc>
        <w:tc>
          <w:tcPr>
            <w:tcW w:w="12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牵头摸排单位</w:t>
            </w:r>
          </w:p>
        </w:tc>
        <w:tc>
          <w:tcPr>
            <w:tcW w:w="10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45" w:type="dxa"/>
          <w:trHeight w:val="780" w:hRule="atLeast"/>
        </w:trPr>
        <w:tc>
          <w:tcPr>
            <w:tcW w:w="885"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2235"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27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575"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785"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455"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470"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260"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00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45" w:type="dxa"/>
          <w:trHeight w:val="780" w:hRule="atLeast"/>
        </w:trPr>
        <w:tc>
          <w:tcPr>
            <w:tcW w:w="885"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2235"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27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575"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785"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455"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470"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260"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00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45" w:type="dxa"/>
          <w:trHeight w:val="780" w:hRule="atLeast"/>
        </w:trPr>
        <w:tc>
          <w:tcPr>
            <w:tcW w:w="885"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2235"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27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575"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785"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455"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470"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260"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00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45" w:type="dxa"/>
          <w:trHeight w:val="780" w:hRule="atLeast"/>
        </w:trPr>
        <w:tc>
          <w:tcPr>
            <w:tcW w:w="885"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2235"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27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575"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785"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455"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470"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260"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00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45" w:type="dxa"/>
          <w:trHeight w:val="780" w:hRule="atLeast"/>
        </w:trPr>
        <w:tc>
          <w:tcPr>
            <w:tcW w:w="885"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2235"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27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575"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785"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455"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470"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260"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00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45" w:type="dxa"/>
          <w:trHeight w:val="780" w:hRule="atLeast"/>
        </w:trPr>
        <w:tc>
          <w:tcPr>
            <w:tcW w:w="885"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2235"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27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575"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785"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455"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470"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260"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00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r>
    </w:tbl>
    <w:p>
      <w:pPr>
        <w:pStyle w:val="2"/>
        <w:rPr>
          <w:rFonts w:hint="eastAsia" w:ascii="Times New Roman" w:hAnsi="Times New Roman" w:cs="仿宋_GB2312"/>
          <w:sz w:val="32"/>
          <w:szCs w:val="32"/>
          <w:lang w:val="en-US"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5"/>
        <w:tblW w:w="182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
        <w:gridCol w:w="985"/>
        <w:gridCol w:w="2100"/>
        <w:gridCol w:w="1830"/>
        <w:gridCol w:w="1275"/>
        <w:gridCol w:w="2070"/>
        <w:gridCol w:w="2625"/>
        <w:gridCol w:w="2070"/>
        <w:gridCol w:w="4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3" w:type="dxa"/>
          <w:trHeight w:val="874" w:hRule="atLeast"/>
        </w:trPr>
        <w:tc>
          <w:tcPr>
            <w:tcW w:w="1843" w:type="dxa"/>
            <w:gridSpan w:val="2"/>
            <w:tcBorders>
              <w:top w:val="nil"/>
              <w:left w:val="nil"/>
              <w:bottom w:val="nil"/>
              <w:right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黑体" w:cs="黑体"/>
                <w:i w:val="0"/>
                <w:color w:val="000000"/>
                <w:kern w:val="0"/>
                <w:sz w:val="32"/>
                <w:szCs w:val="32"/>
                <w:u w:val="none"/>
                <w:lang w:val="en-US" w:eastAsia="zh-CN" w:bidi="ar"/>
              </w:rPr>
              <w:t>附件4</w:t>
            </w:r>
          </w:p>
        </w:tc>
        <w:tc>
          <w:tcPr>
            <w:tcW w:w="2100" w:type="dxa"/>
            <w:tcBorders>
              <w:top w:val="nil"/>
              <w:left w:val="nil"/>
              <w:bottom w:val="nil"/>
              <w:right w:val="nil"/>
            </w:tcBorders>
            <w:noWrap/>
            <w:vAlign w:val="center"/>
          </w:tcPr>
          <w:p>
            <w:pPr>
              <w:rPr>
                <w:rFonts w:hint="eastAsia" w:ascii="Times New Roman" w:hAnsi="Times New Roman" w:eastAsia="宋体" w:cs="宋体"/>
                <w:i w:val="0"/>
                <w:color w:val="000000"/>
                <w:sz w:val="24"/>
                <w:szCs w:val="24"/>
                <w:u w:val="none"/>
              </w:rPr>
            </w:pPr>
          </w:p>
        </w:tc>
        <w:tc>
          <w:tcPr>
            <w:tcW w:w="1830" w:type="dxa"/>
            <w:tcBorders>
              <w:top w:val="nil"/>
              <w:left w:val="nil"/>
              <w:bottom w:val="nil"/>
              <w:right w:val="nil"/>
            </w:tcBorders>
            <w:noWrap/>
            <w:vAlign w:val="center"/>
          </w:tcPr>
          <w:p>
            <w:pPr>
              <w:rPr>
                <w:rFonts w:hint="eastAsia" w:ascii="Times New Roman" w:hAnsi="Times New Roman" w:eastAsia="宋体" w:cs="宋体"/>
                <w:i w:val="0"/>
                <w:color w:val="000000"/>
                <w:sz w:val="24"/>
                <w:szCs w:val="24"/>
                <w:u w:val="none"/>
              </w:rPr>
            </w:pPr>
          </w:p>
        </w:tc>
        <w:tc>
          <w:tcPr>
            <w:tcW w:w="1275" w:type="dxa"/>
            <w:tcBorders>
              <w:top w:val="nil"/>
              <w:left w:val="nil"/>
              <w:bottom w:val="nil"/>
              <w:right w:val="nil"/>
            </w:tcBorders>
            <w:noWrap/>
            <w:vAlign w:val="center"/>
          </w:tcPr>
          <w:p>
            <w:pPr>
              <w:rPr>
                <w:rFonts w:hint="eastAsia" w:ascii="Times New Roman" w:hAnsi="Times New Roman" w:eastAsia="宋体" w:cs="宋体"/>
                <w:i w:val="0"/>
                <w:color w:val="000000"/>
                <w:sz w:val="24"/>
                <w:szCs w:val="24"/>
                <w:u w:val="none"/>
              </w:rPr>
            </w:pPr>
          </w:p>
        </w:tc>
        <w:tc>
          <w:tcPr>
            <w:tcW w:w="2070" w:type="dxa"/>
            <w:tcBorders>
              <w:top w:val="nil"/>
              <w:left w:val="nil"/>
              <w:bottom w:val="nil"/>
              <w:right w:val="nil"/>
            </w:tcBorders>
            <w:noWrap/>
            <w:vAlign w:val="center"/>
          </w:tcPr>
          <w:p>
            <w:pPr>
              <w:rPr>
                <w:rFonts w:hint="eastAsia" w:ascii="Times New Roman" w:hAnsi="Times New Roman" w:eastAsia="宋体" w:cs="宋体"/>
                <w:i w:val="0"/>
                <w:color w:val="000000"/>
                <w:sz w:val="24"/>
                <w:szCs w:val="24"/>
                <w:u w:val="none"/>
              </w:rPr>
            </w:pPr>
          </w:p>
        </w:tc>
        <w:tc>
          <w:tcPr>
            <w:tcW w:w="2625" w:type="dxa"/>
            <w:tcBorders>
              <w:top w:val="nil"/>
              <w:left w:val="nil"/>
              <w:bottom w:val="nil"/>
              <w:right w:val="nil"/>
            </w:tcBorders>
            <w:noWrap/>
            <w:vAlign w:val="center"/>
          </w:tcPr>
          <w:p>
            <w:pPr>
              <w:ind w:right="-4006" w:rightChars="-1252"/>
              <w:rPr>
                <w:rFonts w:hint="eastAsia" w:ascii="Times New Roman" w:hAnsi="Times New Roman" w:eastAsia="宋体" w:cs="宋体"/>
                <w:i w:val="0"/>
                <w:color w:val="000000"/>
                <w:sz w:val="24"/>
                <w:szCs w:val="24"/>
                <w:u w:val="none"/>
              </w:rPr>
            </w:pPr>
          </w:p>
        </w:tc>
        <w:tc>
          <w:tcPr>
            <w:tcW w:w="2070" w:type="dxa"/>
            <w:tcBorders>
              <w:top w:val="nil"/>
              <w:left w:val="nil"/>
              <w:bottom w:val="nil"/>
              <w:right w:val="nil"/>
            </w:tcBorders>
            <w:noWrap/>
            <w:vAlign w:val="center"/>
          </w:tcPr>
          <w:p>
            <w:pPr>
              <w:rPr>
                <w:rFonts w:hint="eastAsia" w:ascii="Times New Roman" w:hAnsi="Times New Roman"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216" w:type="dxa"/>
            <w:gridSpan w:val="9"/>
            <w:tcBorders>
              <w:top w:val="nil"/>
              <w:left w:val="nil"/>
              <w:bottom w:val="nil"/>
              <w:right w:val="nil"/>
            </w:tcBorders>
            <w:noWrap/>
            <w:vAlign w:val="center"/>
          </w:tcPr>
          <w:p>
            <w:pPr>
              <w:keepNext w:val="0"/>
              <w:keepLines w:val="0"/>
              <w:widowControl/>
              <w:suppressLineNumbers w:val="0"/>
              <w:ind w:firstLine="2640" w:firstLineChars="600"/>
              <w:jc w:val="both"/>
              <w:textAlignment w:val="center"/>
              <w:rPr>
                <w:rFonts w:ascii="Times New Roman" w:hAnsi="Times New Roman" w:eastAsia="方正小标宋简体" w:cs="方正小标宋简体"/>
                <w:i w:val="0"/>
                <w:color w:val="000000"/>
                <w:sz w:val="36"/>
                <w:szCs w:val="36"/>
                <w:u w:val="none"/>
              </w:rPr>
            </w:pPr>
            <w:r>
              <w:rPr>
                <w:rFonts w:hint="eastAsia" w:ascii="Times New Roman" w:hAnsi="Times New Roman" w:eastAsia="方正小标宋简体" w:cs="方正小标宋简体"/>
                <w:i w:val="0"/>
                <w:color w:val="000000"/>
                <w:kern w:val="0"/>
                <w:sz w:val="44"/>
                <w:szCs w:val="44"/>
                <w:u w:val="none"/>
                <w:lang w:val="en-US" w:eastAsia="zh-CN" w:bidi="ar"/>
              </w:rPr>
              <w:t>养老服务领域诈骗风险隐患排查工作进度表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216" w:type="dxa"/>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 xml:space="preserve">   填报单位（盖章）：  </w:t>
            </w:r>
            <w:r>
              <w:rPr>
                <w:rFonts w:hint="eastAsia" w:ascii="Times New Roman" w:hAnsi="Times New Roman" w:eastAsia="宋体" w:cs="宋体"/>
                <w:i w:val="0"/>
                <w:color w:val="000000"/>
                <w:kern w:val="0"/>
                <w:sz w:val="24"/>
                <w:szCs w:val="24"/>
                <w:u w:val="single"/>
                <w:lang w:val="en-US" w:eastAsia="zh-CN" w:bidi="ar"/>
              </w:rPr>
              <w:t xml:space="preserve">                        </w:t>
            </w:r>
            <w:r>
              <w:rPr>
                <w:rFonts w:hint="eastAsia" w:ascii="Times New Roman" w:hAnsi="Times New Roman" w:eastAsia="宋体" w:cs="宋体"/>
                <w:i w:val="0"/>
                <w:color w:val="000000"/>
                <w:kern w:val="0"/>
                <w:sz w:val="24"/>
                <w:szCs w:val="24"/>
                <w:u w:val="none"/>
                <w:lang w:val="en-US" w:eastAsia="zh-CN" w:bidi="ar"/>
              </w:rPr>
              <w:t xml:space="preserve"> 民政局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3" w:type="dxa"/>
          <w:trHeight w:val="1380"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序号</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市（县）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本市（县）应当排查的养老服务机构及服务场所总数（家）</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已经排查的养老服务机构及服务场所数量（家）</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已排查占比（%）</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是否成立工作专班</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是否建立跨部门信息共享机制</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是否制定工作方案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3" w:type="dxa"/>
          <w:trHeight w:val="780"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3" w:type="dxa"/>
          <w:trHeight w:val="780"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3" w:type="dxa"/>
          <w:trHeight w:val="780"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3" w:type="dxa"/>
          <w:trHeight w:val="780"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3" w:type="dxa"/>
          <w:trHeight w:val="780"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216" w:type="dxa"/>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填报人：               负责人：                    电话：                            填报日期：</w:t>
            </w:r>
          </w:p>
        </w:tc>
      </w:tr>
    </w:tbl>
    <w:p>
      <w:pPr>
        <w:pStyle w:val="2"/>
        <w:rPr>
          <w:rFonts w:hint="eastAsia" w:ascii="Times New Roman" w:hAnsi="Times New Roman" w:cs="仿宋_GB2312"/>
          <w:sz w:val="32"/>
          <w:szCs w:val="32"/>
          <w:lang w:val="en-US" w:eastAsia="zh-CN"/>
        </w:rPr>
        <w:sectPr>
          <w:pgSz w:w="16838" w:h="11906" w:orient="landscape"/>
          <w:pgMar w:top="1800" w:right="4058" w:bottom="1800" w:left="1440" w:header="851" w:footer="992" w:gutter="0"/>
          <w:pgNumType w:fmt="decimal"/>
          <w:cols w:space="720" w:num="1"/>
          <w:docGrid w:type="lines" w:linePitch="312" w:charSpace="0"/>
        </w:sectPr>
      </w:pPr>
    </w:p>
    <w:p>
      <w:pPr>
        <w:pStyle w:val="2"/>
        <w:keepNext w:val="0"/>
        <w:keepLines w:val="0"/>
        <w:pageBreakBefore w:val="0"/>
        <w:widowControl w:val="0"/>
        <w:kinsoku/>
        <w:wordWrap/>
        <w:overflowPunct/>
        <w:topLinePunct w:val="0"/>
        <w:bidi w:val="0"/>
        <w:snapToGrid/>
        <w:spacing w:line="600" w:lineRule="exact"/>
        <w:jc w:val="left"/>
        <w:textAlignment w:val="auto"/>
        <w:rPr>
          <w:rFonts w:hint="eastAsia" w:ascii="Times New Roman" w:hAnsi="Times New Roman" w:eastAsia="黑体" w:cs="黑体"/>
          <w:i w:val="0"/>
          <w:color w:val="000000"/>
          <w:kern w:val="0"/>
          <w:sz w:val="32"/>
          <w:szCs w:val="32"/>
          <w:u w:val="none"/>
          <w:lang w:val="en-US" w:eastAsia="zh-CN" w:bidi="ar"/>
        </w:rPr>
      </w:pPr>
      <w:r>
        <w:rPr>
          <w:rFonts w:hint="eastAsia" w:ascii="Times New Roman" w:hAnsi="Times New Roman" w:eastAsia="黑体" w:cs="黑体"/>
          <w:i w:val="0"/>
          <w:color w:val="000000"/>
          <w:kern w:val="0"/>
          <w:sz w:val="32"/>
          <w:szCs w:val="32"/>
          <w:u w:val="none"/>
          <w:lang w:val="en-US" w:eastAsia="zh-CN" w:bidi="ar"/>
        </w:rPr>
        <w:t>附件5</w:t>
      </w:r>
    </w:p>
    <w:p>
      <w:pPr>
        <w:pStyle w:val="2"/>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Times New Roman" w:hAnsi="Times New Roman" w:eastAsia="方正小标宋简体" w:cs="方正小标宋简体"/>
          <w:sz w:val="44"/>
          <w:szCs w:val="44"/>
          <w:lang w:val="en-US" w:eastAsia="zh-CN"/>
        </w:rPr>
      </w:pPr>
    </w:p>
    <w:p>
      <w:pPr>
        <w:pStyle w:val="2"/>
        <w:keepNext w:val="0"/>
        <w:keepLines w:val="0"/>
        <w:pageBreakBefore w:val="0"/>
        <w:widowControl w:val="0"/>
        <w:kinsoku/>
        <w:wordWrap/>
        <w:overflowPunct/>
        <w:topLinePunct w:val="0"/>
        <w:bidi w:val="0"/>
        <w:snapToGrid/>
        <w:spacing w:line="60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养老服务领域诈骗风险隐患摸底排查</w:t>
      </w:r>
    </w:p>
    <w:p>
      <w:pPr>
        <w:pStyle w:val="2"/>
        <w:keepNext w:val="0"/>
        <w:keepLines w:val="0"/>
        <w:pageBreakBefore w:val="0"/>
        <w:widowControl w:val="0"/>
        <w:kinsoku/>
        <w:wordWrap/>
        <w:overflowPunct/>
        <w:topLinePunct w:val="0"/>
        <w:bidi w:val="0"/>
        <w:snapToGrid/>
        <w:spacing w:line="60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情况统计表填报说明</w:t>
      </w:r>
    </w:p>
    <w:p>
      <w:pPr>
        <w:pStyle w:val="2"/>
        <w:keepNext w:val="0"/>
        <w:keepLines w:val="0"/>
        <w:pageBreakBefore w:val="0"/>
        <w:widowControl w:val="0"/>
        <w:kinsoku/>
        <w:wordWrap/>
        <w:overflowPunct/>
        <w:topLinePunct w:val="0"/>
        <w:bidi w:val="0"/>
        <w:snapToGrid/>
        <w:spacing w:line="600" w:lineRule="exact"/>
        <w:jc w:val="center"/>
        <w:textAlignment w:val="auto"/>
        <w:rPr>
          <w:rFonts w:hint="eastAsia" w:ascii="Times New Roman" w:hAnsi="Times New Roman" w:eastAsia="方正小标宋简体" w:cs="方正小标宋简体"/>
          <w:sz w:val="44"/>
          <w:szCs w:val="44"/>
          <w:lang w:val="en-US" w:eastAsia="zh-CN"/>
        </w:rPr>
      </w:pP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1.养老服务机构：包括养老机构、社区养老服务机构；</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2.兴办主体：个人（具体到姓名、身份证号，用于信息比对</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lang w:val="en-US" w:eastAsia="zh-CN"/>
        </w:rPr>
        <w:t>企业、社会组织（具体到名称、统一社会信用代码，用于信息比对)</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lang w:val="en-US" w:eastAsia="zh-CN"/>
        </w:rPr>
        <w:t>民政部门；</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3.机构性质：事业单位法人、社会团体法人、企业法人、合伙企业、个人独资企业；</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4.机构设施性质：自有产权、政府产权、其他产权人（含租赁，以及租赁年限</w:t>
      </w:r>
      <w:r>
        <w:rPr>
          <w:rFonts w:hint="eastAsia" w:ascii="Times New Roman" w:hAnsi="Times New Roman" w:cs="仿宋_GB2312"/>
          <w:sz w:val="32"/>
          <w:szCs w:val="32"/>
          <w:lang w:val="en-US" w:eastAsia="zh-CN"/>
        </w:rPr>
        <w:t>）；</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5.经营方式：公办、公建民营（具体到运营主体的名称、统一社会信用代码)、民办；</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6.关联公司：举办者或者投资人名下成立的其他公司（用于研判是否存在关联交易等经营风险</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lang w:val="en-US" w:eastAsia="zh-CN"/>
        </w:rPr>
        <w:t>养老服务机构是否与其他公司签订协议，由其他公司对外与老年人签订销售协议，由养老服务机构承接老年人入住)；</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lang w:val="en-US" w:eastAsia="zh-CN"/>
        </w:rPr>
        <w:t>营销方式：线上营销、线下营销〔包括但不限于聘请营销团队、招聘业务员、召开推介会、发放宣传单等)</w:t>
      </w:r>
      <w:r>
        <w:rPr>
          <w:rFonts w:hint="eastAsia" w:ascii="Times New Roman" w:hAnsi="Times New Roman" w:cs="仿宋_GB2312"/>
          <w:sz w:val="32"/>
          <w:szCs w:val="32"/>
          <w:lang w:val="en-US" w:eastAsia="zh-CN"/>
        </w:rPr>
        <w:t>；</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lang w:val="en-US" w:eastAsia="zh-CN"/>
        </w:rPr>
        <w:t>是否收取大额预付费：养老服务机构一次性收取老年人当月应缴费用6倍以上的为大额预付费；</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9.收费名目：包括但不限于床位费、护理费、押金、会员费、贵宾卡等；</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10.收费标准及优惠条件：载明不同档位的收费标准，优惠条件包括但不限于折扣、返还利息、增值服务、其他投资回报等；</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11.预付费涉及人数、资金总额：养老服务机构累计向多少老年人收取预付费、累计收取资金的总额。</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12.预付费资金使用、管理情况：资金使用情况包括但不限于发展支持本机构、弥补本机构建设投资不足、投资其他领域等；资金管理情况包括但不限于专款专户、第三方存管等；</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13.诉讼及投诉举报情况：投资人、法定代表人、主要负责人有没有因为经济类犯罪被提起过诉讼，养老服务机构是否因收费问题接到过投诉举报；</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14.信用惩戒情况：养老服务机构、法定代表人、主要负责人是否被纳入过养老服务市场失信联合惩戒对象名单（企业经营异常名录或者严重违法失信名单、社会组织活动异常名录或者严重违法失信名单)；</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sz w:val="32"/>
          <w:szCs w:val="32"/>
          <w:lang w:val="en-US" w:eastAsia="zh-CN"/>
        </w:rPr>
        <w:t>15.牵头摸排单位：备案的养老服务机构，由备案的民政部门牵头摸排；未备案的养老服务机构，由服务场所所在县级民政部门牵头摸排。</w:t>
      </w:r>
    </w:p>
    <w:p>
      <w:pPr>
        <w:pStyle w:val="2"/>
        <w:keepNext w:val="0"/>
        <w:keepLines w:val="0"/>
        <w:pageBreakBefore w:val="0"/>
        <w:widowControl w:val="0"/>
        <w:kinsoku/>
        <w:wordWrap/>
        <w:overflowPunct/>
        <w:topLinePunct w:val="0"/>
        <w:bidi w:val="0"/>
        <w:snapToGrid/>
        <w:spacing w:line="600" w:lineRule="exact"/>
        <w:jc w:val="left"/>
        <w:textAlignment w:val="auto"/>
        <w:rPr>
          <w:rFonts w:hint="eastAsia" w:ascii="Times New Roman" w:hAnsi="Times New Roman" w:eastAsia="黑体" w:cs="黑体"/>
          <w:color w:val="auto"/>
          <w:kern w:val="2"/>
          <w:sz w:val="32"/>
          <w:szCs w:val="32"/>
          <w:lang w:val="en-US" w:eastAsia="zh-CN" w:bidi="ar-SA"/>
        </w:rPr>
      </w:pPr>
      <w:r>
        <w:rPr>
          <w:rFonts w:hint="eastAsia" w:ascii="Times New Roman" w:hAnsi="Times New Roman" w:eastAsia="黑体" w:cs="黑体"/>
          <w:color w:val="auto"/>
          <w:kern w:val="2"/>
          <w:sz w:val="32"/>
          <w:szCs w:val="32"/>
          <w:lang w:val="en-US" w:eastAsia="zh-CN" w:bidi="ar-SA"/>
        </w:rPr>
        <w:t>附件6</w:t>
      </w:r>
    </w:p>
    <w:p>
      <w:pPr>
        <w:pStyle w:val="2"/>
        <w:keepNext w:val="0"/>
        <w:keepLines w:val="0"/>
        <w:pageBreakBefore w:val="0"/>
        <w:widowControl w:val="0"/>
        <w:kinsoku/>
        <w:wordWrap/>
        <w:overflowPunct/>
        <w:topLinePunct w:val="0"/>
        <w:bidi w:val="0"/>
        <w:snapToGrid/>
        <w:spacing w:line="600" w:lineRule="exact"/>
        <w:jc w:val="left"/>
        <w:textAlignment w:val="auto"/>
        <w:rPr>
          <w:rFonts w:hint="eastAsia" w:ascii="Times New Roman" w:hAnsi="Times New Roman" w:cs="仿宋_GB2312"/>
          <w:color w:val="auto"/>
          <w:kern w:val="2"/>
          <w:sz w:val="32"/>
          <w:szCs w:val="32"/>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left="0" w:hanging="438" w:hangingChars="100"/>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未经登记但从事养老服务经营活动的服务场所</w:t>
      </w:r>
    </w:p>
    <w:p>
      <w:pPr>
        <w:pStyle w:val="2"/>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风险摸底排查情况统计表填报说明</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lang w:val="en-US" w:eastAsia="zh-CN"/>
        </w:rPr>
        <w:t>服务场所名称：未经登记但从事养老服务经营活动的服务场所，对外宣传使用的名称；</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2.对外宣传性质：非营利性的事业单位、非营利性的民办非企业单位、营利性的企业（通过服务场所对外发放的宣传资料、张贴的宣传海报等方式，了解其对外宣传是非营利性的，还是营利性的)；</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3.兴办主体：个人（具体到姓名、身份证，用于信息比对</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lang w:val="en-US" w:eastAsia="zh-CN"/>
        </w:rPr>
        <w:t>企业、社会组织（具体到名称、统一社会信用代码，用于信息比对)</w:t>
      </w:r>
      <w:r>
        <w:rPr>
          <w:rFonts w:hint="eastAsia" w:ascii="Times New Roman" w:hAnsi="Times New Roman" w:cs="仿宋_GB2312"/>
          <w:sz w:val="32"/>
          <w:szCs w:val="32"/>
          <w:lang w:val="en-US" w:eastAsia="zh-CN"/>
        </w:rPr>
        <w:t>；</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4.营销方式：线上营销、线下营销（包括但不限于聘请营销团队、招聘业务员、召开推介会、发放宣传单等)</w:t>
      </w:r>
      <w:r>
        <w:rPr>
          <w:rFonts w:hint="eastAsia" w:ascii="Times New Roman" w:hAnsi="Times New Roman" w:cs="仿宋_GB2312"/>
          <w:sz w:val="32"/>
          <w:szCs w:val="32"/>
          <w:lang w:val="en-US" w:eastAsia="zh-CN"/>
        </w:rPr>
        <w:t>；</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lang w:val="en-US" w:eastAsia="zh-CN"/>
        </w:rPr>
        <w:t>是否收取大额预付费：一次性收取老年人当月应缴费用6倍以上的为大额预付费；</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6.收费名目：包括但不限于床位费、护理费、押金、会员费、贵宾卡等；</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7.收费标准及优惠条件：载明不同档位的收费标准，优惠条件包括但不限于折扣、返还利息、增值服务、其他投资回报等；</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8.预付费涉及人数、资金总额：养老服务机构累计向多少老年人收取预付费、累计收取资金的总额。</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9.预付费资金使用、管理情况：资金使用情况包括但不限于发展支持本机构、弥补本机构建设投资不足、投资其他领域等</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lang w:val="en-US" w:eastAsia="zh-CN"/>
        </w:rPr>
        <w:t>资金管理情况包括但不限于专款专户、第三方存管等；</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10.诉讼及投诉举报情况：投资人、举办者、主要负责人有没有因为经济类犯罪被提起过诉讼，是否接到过投诉举报；</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11.信用惩戒情况：投资人、举办者、主要负责人是否被纳入过养老服务市场失信联合惩戒对象名单（企业经营异常名录或者严重违法失信名单、社会组织活动异常名录或者严重违法失信名单)；</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12.牵头摸排单位：未经登记但从事养老服务经营活动的服务场所，由服务场所所在县级民政部门牵头摸排。</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p>
    <w:p>
      <w:pPr>
        <w:pStyle w:val="2"/>
        <w:keepNext w:val="0"/>
        <w:keepLines w:val="0"/>
        <w:pageBreakBefore w:val="0"/>
        <w:widowControl w:val="0"/>
        <w:kinsoku/>
        <w:wordWrap/>
        <w:overflowPunct/>
        <w:topLinePunct w:val="0"/>
        <w:bidi w:val="0"/>
        <w:snapToGrid/>
        <w:spacing w:line="600" w:lineRule="exact"/>
        <w:jc w:val="left"/>
        <w:textAlignment w:val="auto"/>
        <w:rPr>
          <w:rFonts w:hint="eastAsia" w:ascii="Times New Roman" w:hAnsi="Times New Roman" w:eastAsia="仿宋_GB2312" w:cs="仿宋_GB2312"/>
          <w:color w:val="auto"/>
          <w:kern w:val="2"/>
          <w:sz w:val="32"/>
          <w:szCs w:val="32"/>
          <w:lang w:val="en-US" w:eastAsia="zh-CN" w:bidi="ar-SA"/>
        </w:rPr>
      </w:pPr>
    </w:p>
    <w:p>
      <w:pPr>
        <w:pStyle w:val="2"/>
        <w:keepNext w:val="0"/>
        <w:keepLines w:val="0"/>
        <w:pageBreakBefore w:val="0"/>
        <w:widowControl w:val="0"/>
        <w:kinsoku/>
        <w:wordWrap/>
        <w:overflowPunct/>
        <w:topLinePunct w:val="0"/>
        <w:bidi w:val="0"/>
        <w:snapToGrid/>
        <w:spacing w:line="600" w:lineRule="exact"/>
        <w:jc w:val="left"/>
        <w:textAlignment w:val="auto"/>
        <w:rPr>
          <w:rFonts w:hint="eastAsia" w:ascii="Times New Roman" w:hAnsi="Times New Roman" w:eastAsia="黑体" w:cs="黑体"/>
          <w:color w:val="auto"/>
          <w:kern w:val="2"/>
          <w:sz w:val="32"/>
          <w:szCs w:val="32"/>
          <w:lang w:val="en-US" w:eastAsia="zh-CN" w:bidi="ar-SA"/>
        </w:rPr>
      </w:pPr>
      <w:r>
        <w:rPr>
          <w:rFonts w:hint="eastAsia" w:ascii="Times New Roman" w:hAnsi="Times New Roman" w:eastAsia="黑体" w:cs="黑体"/>
          <w:color w:val="auto"/>
          <w:kern w:val="2"/>
          <w:sz w:val="32"/>
          <w:szCs w:val="32"/>
          <w:lang w:val="en-US" w:eastAsia="zh-CN" w:bidi="ar-SA"/>
        </w:rPr>
        <w:t>附件7</w:t>
      </w:r>
    </w:p>
    <w:p>
      <w:pPr>
        <w:pStyle w:val="2"/>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cs="仿宋_GB2312"/>
          <w:color w:val="auto"/>
          <w:kern w:val="2"/>
          <w:sz w:val="32"/>
          <w:szCs w:val="32"/>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养老服务领域诈骗风险隐患“红橙黄”</w:t>
      </w:r>
    </w:p>
    <w:p>
      <w:pPr>
        <w:pStyle w:val="2"/>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风险管控名单填报说明</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黑体" w:cs="黑体"/>
          <w:b w:val="0"/>
          <w:bCs w:val="0"/>
          <w:sz w:val="32"/>
          <w:szCs w:val="32"/>
          <w:lang w:val="en-US" w:eastAsia="zh-CN"/>
        </w:rPr>
        <w:t>一、类别</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A.养老机构；B.社区养老服务机构；C.未经登记但从事养老服务经营活动的服务场所。</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二、风险隐患点</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1.有收取大额预付费行为，但资金主要用于弥补设施建设资金不足；</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2.近三年分支机构、服务网点扩张过快；</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3.频繁变更法定代表人、登记注册地；</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4.虚假或夸大宣传；</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5.有关联公司且存在关联交易；</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6.投资人、法定代表人或主要负责人因经济犯罪被提起诉讼、被投诉举报、纳入养老服务市场失信联合惩戒对象名单（企业经营异常名录或者严重违法失信名单、社会组织活动异常名录</w:t>
      </w:r>
      <w:r>
        <w:rPr>
          <w:rFonts w:hint="eastAsia" w:ascii="Times New Roman" w:hAnsi="Times New Roman" w:cs="仿宋_GB2312"/>
          <w:sz w:val="32"/>
          <w:szCs w:val="32"/>
          <w:lang w:val="en-US" w:eastAsia="zh-CN"/>
        </w:rPr>
        <w:t>或者严重</w:t>
      </w:r>
      <w:r>
        <w:rPr>
          <w:rFonts w:hint="eastAsia" w:ascii="Times New Roman" w:hAnsi="Times New Roman" w:eastAsia="仿宋_GB2312" w:cs="仿宋_GB2312"/>
          <w:sz w:val="32"/>
          <w:szCs w:val="32"/>
          <w:lang w:val="en-US" w:eastAsia="zh-CN"/>
        </w:rPr>
        <w:t>违法失信名单</w:t>
      </w:r>
      <w:r>
        <w:rPr>
          <w:rFonts w:hint="eastAsia" w:ascii="Times New Roman" w:hAnsi="Times New Roman" w:cs="仿宋_GB2312"/>
          <w:sz w:val="32"/>
          <w:szCs w:val="32"/>
          <w:lang w:val="en-US" w:eastAsia="zh-CN"/>
        </w:rPr>
        <w:t>）；</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7，有收取大额预付费行为，资金使用不规范（包括但不限于投资不动产，股票，债券，证券、借贷等，以及投资、转移到法定代表人、主要负责人名下其他关联企业)，但资可抵债运营</w:t>
      </w:r>
      <w:r>
        <w:rPr>
          <w:rFonts w:hint="eastAsia" w:ascii="Times New Roman" w:hAnsi="Times New Roman" w:cs="仿宋_GB2312"/>
          <w:sz w:val="32"/>
          <w:szCs w:val="32"/>
          <w:lang w:val="en-US" w:eastAsia="zh-CN"/>
        </w:rPr>
        <w:t>比较平稳的；</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lang w:val="en-US" w:eastAsia="zh-CN"/>
        </w:rPr>
        <w:t>收取大额预付费的对象数量超过床位总数；</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9.未经登记但从事养老服务经营活动的服务场所没有收取大额预付费行为的；</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10.未经登记但从事养老服务经营活动的服务场所有收取大额预付费行为的；</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11.存在涉嫌非法集资、诈骗等犯罪行为；</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12.有收取大额预付费行为且资不抵债；</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13.已经“爆雷”；</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14.引起不良影响或重大舆情；</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15.其他情形。</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sz w:val="32"/>
          <w:szCs w:val="32"/>
          <w:lang w:val="en-US" w:eastAsia="zh-CN"/>
        </w:rPr>
        <w:t>三、风险隐患等级</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黄：风险隐患点中存在1-5情况的纳入黄色名单；</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橙：风险隐患点中存在6-9情况的纳入橙色名单；</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红：风险隐患点中存在10-14情况的纳入红色名单；</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如有其他风险隐患点请补充完整。</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sz w:val="32"/>
          <w:szCs w:val="32"/>
          <w:lang w:val="en-US" w:eastAsia="zh-CN"/>
        </w:rPr>
        <w:t>四、整治措施</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1.警示约谈；</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2.线索通报；</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3.责令整改；</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4.督促清退资金；</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5.移送公安机关；</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6.督促依法办理登记；</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7.根据场所性质，移交相关部门查处、取缔（未经登记且对外宣称是非营利性民办非企业单位的，移交社会组织登记管理部门；未经登记且对外宣称是营利性企业的，移交市场监管部门)</w:t>
      </w:r>
      <w:r>
        <w:rPr>
          <w:rFonts w:hint="eastAsia" w:ascii="Times New Roman" w:hAnsi="Times New Roman" w:cs="仿宋_GB2312"/>
          <w:sz w:val="32"/>
          <w:szCs w:val="32"/>
          <w:lang w:val="en-US" w:eastAsia="zh-CN"/>
        </w:rPr>
        <w:t>；</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8.其他规范整治措施。</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sz w:val="32"/>
          <w:szCs w:val="32"/>
          <w:lang w:val="en-US" w:eastAsia="zh-CN"/>
        </w:rPr>
        <w:t>五、牵头摸排单位</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lang w:val="en-US" w:eastAsia="zh-CN"/>
        </w:rPr>
        <w:t>备案的养老服务机构，由备案的民政部门牵头摸排；</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2.未备案的养老服务机构，由服务场所所在县级民政部门牵头摸排；</w:t>
      </w:r>
    </w:p>
    <w:p>
      <w:pPr>
        <w:pStyle w:val="2"/>
        <w:keepNext w:val="0"/>
        <w:keepLines w:val="0"/>
        <w:pageBreakBefore w:val="0"/>
        <w:widowControl w:val="0"/>
        <w:kinsoku/>
        <w:wordWrap/>
        <w:overflowPunct/>
        <w:topLinePunct w:val="0"/>
        <w:bidi w:val="0"/>
        <w:snapToGrid/>
        <w:spacing w:line="600" w:lineRule="exact"/>
        <w:ind w:firstLine="636" w:firstLineChars="200"/>
        <w:jc w:val="both"/>
        <w:textAlignment w:val="auto"/>
        <w:rPr>
          <w:rFonts w:hint="eastAsia" w:ascii="Times New Roman" w:hAnsi="Times New Roman" w:eastAsia="仿宋_GB2312" w:cs="仿宋_GB2312"/>
          <w:color w:val="000000"/>
        </w:rPr>
      </w:pPr>
      <w:r>
        <w:rPr>
          <w:rFonts w:hint="eastAsia" w:ascii="Times New Roman" w:hAnsi="Times New Roman" w:eastAsia="仿宋_GB2312" w:cs="仿宋_GB2312"/>
          <w:sz w:val="32"/>
          <w:szCs w:val="32"/>
          <w:lang w:val="en-US" w:eastAsia="zh-CN"/>
        </w:rPr>
        <w:t>3.未经登记但从事养老服务经营活动的服务场所，由服务场所所在县级民政部门牵头摸排。</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color w:val="00000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color w:val="00000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color w:val="00000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color w:val="000000"/>
        </w:rPr>
      </w:pPr>
    </w:p>
    <w:p>
      <w:pPr>
        <w:pStyle w:val="2"/>
        <w:rPr>
          <w:rFonts w:hint="eastAsia" w:ascii="Times New Roman" w:hAnsi="Times New Roman" w:eastAsia="仿宋_GB2312" w:cs="仿宋_GB2312"/>
          <w:color w:val="000000"/>
        </w:rPr>
      </w:pPr>
    </w:p>
    <w:p>
      <w:pPr>
        <w:rPr>
          <w:rFonts w:hint="eastAsia" w:ascii="Times New Roman" w:hAnsi="Times New Roman" w:eastAsia="仿宋_GB2312" w:cs="宋体"/>
          <w:color w:val="000000"/>
          <w:sz w:val="28"/>
          <w:szCs w:val="28"/>
        </w:rPr>
      </w:pPr>
      <w:r>
        <w:rPr>
          <w:rFonts w:ascii="Times New Roman" w:hAnsi="Times New Roman" w:eastAsia="Times New Roman" w:cs="宋体"/>
          <w:color w:val="00000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379730</wp:posOffset>
                </wp:positionV>
                <wp:extent cx="56013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13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29.9pt;height:0.05pt;width:441.05pt;z-index:251660288;mso-width-relative:page;mso-height-relative:page;" filled="f" stroked="t" coordsize="21600,21600" o:gfxdata="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C9cAd0wAAAAYBAAAPAAAAAAAAAAEAIAAAACIAAABkcnMvZG93bnJldi54bWxQSwECFAAUAAAA&#10;CACHTuJAj2ik8PMBAADmAwAADgAAAAAAAAABACAAAAAiAQAAZHJzL2Uyb0RvYy54bWxQSwUGAAAA&#10;AAYABgBZAQAAhwUAAAAA&#10;">
                <v:fill on="f" focussize="0,0"/>
                <v:stroke color="#000000" joinstyle="round"/>
                <v:imagedata o:title=""/>
                <o:lock v:ext="edit" aspectratio="f"/>
              </v:line>
            </w:pict>
          </mc:Fallback>
        </mc:AlternateContent>
      </w:r>
      <w:r>
        <w:rPr>
          <w:rFonts w:ascii="Times New Roman" w:hAnsi="Times New Roman" w:eastAsia="Times New Roman" w:cs="宋体"/>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17145</wp:posOffset>
                </wp:positionV>
                <wp:extent cx="56108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08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35pt;height:0.05pt;width:441.8pt;z-index:251659264;mso-width-relative:page;mso-height-relative:page;" filled="f" stroked="t" coordsize="21600,21600" o:gfxdata="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i039XTAAAABAEAAA8AAAAAAAAAAQAgAAAAIgAAAGRycy9kb3ducmV2LnhtbFBLAQIUABQA&#10;AAAIAIdO4kALHLsr9QEAAOYDAAAOAAAAAAAAAAEAIAAAACIBAABkcnMvZTJvRG9jLnhtbFBLBQYA&#10;AAAABgAGAFkBAACJBQAAAAA=&#10;">
                <v:fill on="f" focussize="0,0"/>
                <v:stroke color="#000000" joinstyle="round"/>
                <v:imagedata o:title=""/>
                <o:lock v:ext="edit" aspectratio="f"/>
              </v:line>
            </w:pict>
          </mc:Fallback>
        </mc:AlternateContent>
      </w:r>
      <w:r>
        <w:rPr>
          <w:rFonts w:hint="eastAsia" w:ascii="Times New Roman" w:hAnsi="Times New Roman" w:cs="宋体"/>
          <w:color w:val="000000"/>
        </w:rPr>
        <w:t>　</w:t>
      </w:r>
      <w:r>
        <w:rPr>
          <w:rFonts w:hint="eastAsia" w:ascii="Times New Roman" w:hAnsi="Times New Roman" w:eastAsia="仿宋_GB2312" w:cs="宋体"/>
          <w:color w:val="000000"/>
          <w:sz w:val="28"/>
          <w:szCs w:val="28"/>
        </w:rPr>
        <w:t xml:space="preserve">三门峡市民政局办公室 </w:t>
      </w:r>
      <w:r>
        <w:rPr>
          <w:rFonts w:hint="eastAsia" w:ascii="Times New Roman" w:hAnsi="Times New Roman" w:cs="宋体"/>
          <w:color w:val="000000"/>
          <w:sz w:val="28"/>
          <w:szCs w:val="28"/>
        </w:rPr>
        <w:t xml:space="preserve">        　        20</w:t>
      </w:r>
      <w:r>
        <w:rPr>
          <w:rFonts w:hint="eastAsia" w:ascii="Times New Roman" w:hAnsi="Times New Roman" w:cs="宋体"/>
          <w:color w:val="000000"/>
          <w:sz w:val="28"/>
          <w:szCs w:val="28"/>
          <w:lang w:val="en-US" w:eastAsia="zh-CN"/>
        </w:rPr>
        <w:t>22</w:t>
      </w:r>
      <w:r>
        <w:rPr>
          <w:rFonts w:hint="eastAsia" w:ascii="Times New Roman" w:hAnsi="Times New Roman" w:eastAsia="仿宋_GB2312" w:cs="宋体"/>
          <w:color w:val="000000"/>
          <w:sz w:val="28"/>
          <w:szCs w:val="28"/>
        </w:rPr>
        <w:t>年</w:t>
      </w:r>
      <w:r>
        <w:rPr>
          <w:rFonts w:hint="eastAsia" w:ascii="Times New Roman" w:hAnsi="Times New Roman" w:eastAsia="仿宋_GB2312" w:cs="宋体"/>
          <w:color w:val="000000"/>
          <w:sz w:val="28"/>
          <w:szCs w:val="28"/>
          <w:lang w:val="en-US" w:eastAsia="zh-CN"/>
        </w:rPr>
        <w:t>1</w:t>
      </w:r>
      <w:r>
        <w:rPr>
          <w:rFonts w:hint="eastAsia" w:ascii="Times New Roman" w:hAnsi="Times New Roman" w:eastAsia="仿宋_GB2312" w:cs="宋体"/>
          <w:color w:val="000000"/>
          <w:sz w:val="28"/>
          <w:szCs w:val="28"/>
        </w:rPr>
        <w:t>月</w:t>
      </w:r>
      <w:r>
        <w:rPr>
          <w:rFonts w:hint="eastAsia" w:ascii="Times New Roman" w:hAnsi="Times New Roman" w:eastAsia="仿宋_GB2312" w:cs="宋体"/>
          <w:color w:val="000000"/>
          <w:sz w:val="28"/>
          <w:szCs w:val="28"/>
          <w:lang w:val="en-US" w:eastAsia="zh-CN"/>
        </w:rPr>
        <w:t>26</w:t>
      </w:r>
      <w:r>
        <w:rPr>
          <w:rFonts w:hint="eastAsia" w:ascii="Times New Roman" w:hAnsi="Times New Roman" w:eastAsia="仿宋_GB2312" w:cs="宋体"/>
          <w:color w:val="000000"/>
          <w:sz w:val="28"/>
          <w:szCs w:val="28"/>
        </w:rPr>
        <w:t>日印发</w:t>
      </w:r>
    </w:p>
    <w:p>
      <w:pPr>
        <w:rPr>
          <w:rFonts w:hint="eastAsia" w:ascii="Times New Roman" w:hAnsi="Times New Roman" w:eastAsia="宋体"/>
          <w:lang w:eastAsia="zh-CN"/>
        </w:rPr>
      </w:pPr>
      <w:r>
        <w:rPr>
          <w:rFonts w:hint="eastAsia" w:ascii="Times New Roman" w:hAnsi="Times New Roman" w:cs="宋体"/>
          <w:color w:val="000000"/>
        </w:rPr>
        <w:t xml:space="preserve">                                  </w:t>
      </w:r>
      <w:r>
        <w:rPr>
          <w:rFonts w:hint="eastAsia" w:ascii="Times New Roman" w:hAnsi="Times New Roman" w:cs="宋体"/>
          <w:color w:val="000000"/>
          <w:lang w:val="en-US" w:eastAsia="zh-CN"/>
        </w:rPr>
        <w:t xml:space="preserve"> </w:t>
      </w:r>
      <w:r>
        <w:rPr>
          <w:rFonts w:hint="eastAsia" w:ascii="Times New Roman" w:hAnsi="Times New Roman" w:cs="宋体"/>
          <w:color w:val="000000"/>
        </w:rPr>
        <w:t xml:space="preserve"> </w:t>
      </w:r>
      <w:r>
        <w:rPr>
          <w:rFonts w:hint="eastAsia" w:ascii="Times New Roman" w:hAnsi="Times New Roman" w:eastAsia="宋体"/>
          <w:lang w:eastAsia="zh-CN"/>
        </w:rPr>
        <w:drawing>
          <wp:inline distT="0" distB="0" distL="114300" distR="114300">
            <wp:extent cx="1790700" cy="476250"/>
            <wp:effectExtent l="0" t="0" r="0" b="0"/>
            <wp:docPr id="4" name="图片 4" descr="三民〔2022〕4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三民〔2022〕4号"/>
                    <pic:cNvPicPr>
                      <a:picLocks noChangeAspect="1"/>
                    </pic:cNvPicPr>
                  </pic:nvPicPr>
                  <pic:blipFill>
                    <a:blip r:embed="rId6"/>
                    <a:stretch>
                      <a:fillRect/>
                    </a:stretch>
                  </pic:blipFill>
                  <pic:spPr>
                    <a:xfrm>
                      <a:off x="0" y="0"/>
                      <a:ext cx="1790700" cy="476250"/>
                    </a:xfrm>
                    <a:prstGeom prst="rect">
                      <a:avLst/>
                    </a:prstGeom>
                  </pic:spPr>
                </pic:pic>
              </a:graphicData>
            </a:graphic>
          </wp:inline>
        </w:drawing>
      </w:r>
    </w:p>
    <w:sectPr>
      <w:footerReference r:id="rId4" w:type="default"/>
      <w:pgSz w:w="11906" w:h="16838"/>
      <w:pgMar w:top="2098" w:right="1417" w:bottom="1984" w:left="1587" w:header="851" w:footer="1417" w:gutter="0"/>
      <w:pgNumType w:fmt="decimal"/>
      <w:cols w:space="720" w:num="1"/>
      <w:docGrid w:type="linesAndChars" w:linePitch="593" w:char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ordWrap w:val="0"/>
                            <w:snapToGrid w:val="0"/>
                            <w:jc w:val="right"/>
                            <w:rPr>
                              <w:rFonts w:hint="eastAsia"/>
                              <w:sz w:val="28"/>
                              <w:szCs w:val="28"/>
                            </w:rPr>
                          </w:pP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2</w:t>
                          </w:r>
                          <w:r>
                            <w:rPr>
                              <w:rFonts w:hint="eastAsia" w:ascii="宋体" w:hAnsi="宋体" w:cs="宋体"/>
                              <w:sz w:val="28"/>
                              <w:szCs w:val="28"/>
                            </w:rPr>
                            <w:fldChar w:fldCharType="end"/>
                          </w:r>
                          <w:r>
                            <w:rPr>
                              <w:rFonts w:hint="eastAsia" w:ascii="宋体" w:hAnsi="宋体" w:cs="宋体"/>
                              <w:sz w:val="28"/>
                              <w:szCs w:val="28"/>
                            </w:rPr>
                            <w:t xml:space="preserve"> －　</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wordWrap w:val="0"/>
                      <w:snapToGrid w:val="0"/>
                      <w:jc w:val="right"/>
                      <w:rPr>
                        <w:rFonts w:hint="eastAsia"/>
                        <w:sz w:val="28"/>
                        <w:szCs w:val="28"/>
                      </w:rPr>
                    </w:pP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2</w:t>
                    </w:r>
                    <w:r>
                      <w:rPr>
                        <w:rFonts w:hint="eastAsia" w:ascii="宋体" w:hAnsi="宋体" w:cs="宋体"/>
                        <w:sz w:val="28"/>
                        <w:szCs w:val="28"/>
                      </w:rPr>
                      <w:fldChar w:fldCharType="end"/>
                    </w:r>
                    <w:r>
                      <w:rPr>
                        <w:rFonts w:hint="eastAsia" w:ascii="宋体" w:hAnsi="宋体" w:cs="宋体"/>
                        <w:sz w:val="28"/>
                        <w:szCs w:val="28"/>
                      </w:rPr>
                      <w:t xml:space="preserve"> －　</w:t>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矩形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wordWrap w:val="0"/>
                            <w:snapToGrid w:val="0"/>
                            <w:jc w:val="right"/>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12</w:t>
                          </w:r>
                          <w:r>
                            <w:rPr>
                              <w:rFonts w:hint="eastAsia"/>
                              <w:sz w:val="28"/>
                              <w:szCs w:val="28"/>
                            </w:rPr>
                            <w:fldChar w:fldCharType="end"/>
                          </w:r>
                          <w:r>
                            <w:rPr>
                              <w:rFonts w:hint="eastAsia"/>
                              <w:sz w:val="28"/>
                              <w:szCs w:val="28"/>
                            </w:rPr>
                            <w:t xml:space="preserve"> —</w:t>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AtrBbAAQAAjg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7DizAlLN/7n+8/fv34wKpA7&#10;fcCKmp7CI0wZUpikDi3Y9CYRbMiOni+OqiEyScXlerVel2S2pLM5IZzi+fMAGD8pb1kKag50ZdlJ&#10;cfqCcWydW9I05++0MVQXlXH/FAgzVYrEeOSYojjsh4n43jdnEtvTbdfc0XJzZj47MjMtxhzAHOzn&#10;4BhAH7q8OWkehttjJBKZW5owwk6D6Zqyumml0h68zHPX82+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8C2sFsABAACOAwAADgAAAAAAAAABACAAAAAfAQAAZHJzL2Uyb0RvYy54bWxQSwUG&#10;AAAAAAYABgBZAQAAUQUAAAAA&#10;">
              <v:fill on="f" focussize="0,0"/>
              <v:stroke on="f"/>
              <v:imagedata o:title=""/>
              <o:lock v:ext="edit" aspectratio="f"/>
              <v:textbox inset="0mm,0mm,0mm,0mm" style="mso-fit-shape-to-text:t;">
                <w:txbxContent>
                  <w:p>
                    <w:pPr>
                      <w:wordWrap w:val="0"/>
                      <w:snapToGrid w:val="0"/>
                      <w:jc w:val="right"/>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12</w:t>
                    </w:r>
                    <w:r>
                      <w:rPr>
                        <w:rFonts w:hint="eastAsia"/>
                        <w:sz w:val="28"/>
                        <w:szCs w:val="28"/>
                      </w:rPr>
                      <w:fldChar w:fldCharType="end"/>
                    </w:r>
                    <w:r>
                      <w:rPr>
                        <w:rFonts w:hint="eastAsia"/>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B1491"/>
    <w:rsid w:val="06DD5671"/>
    <w:rsid w:val="076D3EE9"/>
    <w:rsid w:val="12E20AB8"/>
    <w:rsid w:val="15931AB9"/>
    <w:rsid w:val="15FD3F1D"/>
    <w:rsid w:val="16974827"/>
    <w:rsid w:val="3B2B1491"/>
    <w:rsid w:val="4034153D"/>
    <w:rsid w:val="66DC4E31"/>
    <w:rsid w:val="714C4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1"/>
    <w:basedOn w:val="6"/>
    <w:qFormat/>
    <w:uiPriority w:val="0"/>
    <w:rPr>
      <w:rFonts w:hint="eastAsia" w:ascii="宋体" w:hAnsi="宋体" w:eastAsia="宋体" w:cs="宋体"/>
      <w:color w:val="000000"/>
      <w:sz w:val="24"/>
      <w:szCs w:val="24"/>
      <w:u w:val="single"/>
    </w:rPr>
  </w:style>
  <w:style w:type="character" w:customStyle="1" w:styleId="8">
    <w:name w:val="font2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102</TotalTime>
  <ScaleCrop>false</ScaleCrop>
  <LinksUpToDate>false</LinksUpToDate>
  <CharactersWithSpaces>0</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2022-01-27T01:21:00Z</dcterms:created>
  <dc:creator>Administrator</dc:creator>
  <cp:lastModifiedBy>Administrator</cp:lastModifiedBy>
  <cp:lastPrinted>2022-01-28T03:16:49Z</cp:lastPrinted>
  <dcterms:modified xsi:type="dcterms:W3CDTF">2022-01-28T08:23:06Z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705101DDA73A4C55976B73A258089469</vt:lpwstr>
  </property>
</Properties>
</file>