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</w:p>
    <w:p>
      <w:pPr>
        <w:jc w:val="center"/>
        <w:rPr>
          <w:rFonts w:ascii="方正小标宋简体" w:hAnsi="Arial" w:eastAsia="方正小标宋简体" w:cs="Arial"/>
          <w:sz w:val="40"/>
          <w:szCs w:val="44"/>
        </w:rPr>
      </w:pPr>
      <w:r>
        <w:rPr>
          <w:rFonts w:hint="eastAsia" w:ascii="方正小标宋简体" w:hAnsi="Arial" w:eastAsia="方正小标宋简体" w:cs="Arial"/>
          <w:sz w:val="40"/>
          <w:szCs w:val="44"/>
        </w:rPr>
        <w:t xml:space="preserve"> </w:t>
      </w:r>
    </w:p>
    <w:p>
      <w:pPr>
        <w:jc w:val="center"/>
        <w:rPr>
          <w:rFonts w:hint="default" w:ascii="方正小标宋简体" w:hAnsi="Arial" w:eastAsia="方正小标宋简体" w:cs="Arial"/>
          <w:sz w:val="40"/>
          <w:szCs w:val="44"/>
          <w:lang w:val="en-US" w:eastAsia="zh-CN"/>
        </w:rPr>
      </w:pPr>
      <w:r>
        <w:rPr>
          <w:rFonts w:hint="eastAsia" w:ascii="方正小标宋简体" w:hAnsi="Arial" w:eastAsia="方正小标宋简体" w:cs="Arial"/>
          <w:sz w:val="40"/>
          <w:szCs w:val="44"/>
        </w:rPr>
        <w:t>2021年</w:t>
      </w:r>
      <w:r>
        <w:rPr>
          <w:rFonts w:hint="eastAsia" w:ascii="方正小标宋简体" w:hAnsi="Arial" w:eastAsia="方正小标宋简体" w:cs="Arial"/>
          <w:sz w:val="40"/>
          <w:szCs w:val="44"/>
          <w:lang w:val="en-US" w:eastAsia="zh-CN"/>
        </w:rPr>
        <w:t>三门峡市养老服务中心</w:t>
      </w:r>
    </w:p>
    <w:p>
      <w:pPr>
        <w:jc w:val="center"/>
        <w:rPr>
          <w:rFonts w:ascii="仿宋_GB2312"/>
          <w:sz w:val="32"/>
          <w:szCs w:val="32"/>
        </w:rPr>
      </w:pPr>
      <w:r>
        <w:rPr>
          <w:rFonts w:hint="eastAsia" w:ascii="方正小标宋简体" w:hAnsi="Arial" w:eastAsia="方正小标宋简体" w:cs="Arial"/>
          <w:sz w:val="40"/>
          <w:szCs w:val="44"/>
          <w:lang w:val="en-US" w:eastAsia="zh-CN"/>
        </w:rPr>
        <w:t>项目</w:t>
      </w:r>
      <w:r>
        <w:rPr>
          <w:rFonts w:hint="eastAsia" w:ascii="方正小标宋简体" w:hAnsi="Arial" w:eastAsia="方正小标宋简体" w:cs="Arial"/>
          <w:sz w:val="40"/>
          <w:szCs w:val="44"/>
        </w:rPr>
        <w:t>支出绩效自评报告</w:t>
      </w:r>
    </w:p>
    <w:p>
      <w:pPr>
        <w:spacing w:line="560" w:lineRule="exact"/>
        <w:ind w:firstLine="640" w:firstLineChars="200"/>
        <w:rPr>
          <w:b/>
          <w:sz w:val="32"/>
          <w:szCs w:val="32"/>
        </w:rPr>
      </w:pPr>
      <w:r>
        <w:rPr>
          <w:rFonts w:eastAsia="黑体"/>
          <w:sz w:val="32"/>
          <w:szCs w:val="32"/>
        </w:rPr>
        <w:t>一、项目基本情况</w:t>
      </w:r>
    </w:p>
    <w:p>
      <w:pPr>
        <w:spacing w:line="560" w:lineRule="exact"/>
        <w:ind w:firstLine="643" w:firstLineChars="200"/>
        <w:rPr>
          <w:rFonts w:eastAsia="楷体"/>
          <w:b/>
          <w:bCs/>
          <w:sz w:val="32"/>
          <w:szCs w:val="32"/>
        </w:rPr>
      </w:pPr>
      <w:r>
        <w:rPr>
          <w:rFonts w:eastAsia="楷体"/>
          <w:b/>
          <w:bCs/>
          <w:sz w:val="32"/>
          <w:szCs w:val="32"/>
        </w:rPr>
        <w:t>（一）项目概况</w:t>
      </w:r>
    </w:p>
    <w:p>
      <w:pPr>
        <w:spacing w:line="560" w:lineRule="exact"/>
        <w:ind w:firstLine="640" w:firstLineChars="200"/>
        <w:outlineLvl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根据年初预算安排，该项目总金额为25万元，其中，其他资金安排20万元，国有资产出租出借收入返还财政拨款安排5万元，主要用于保证我单位业务工作正常开展支出。</w:t>
      </w:r>
    </w:p>
    <w:p>
      <w:pPr>
        <w:spacing w:line="560" w:lineRule="exact"/>
        <w:ind w:firstLine="643" w:firstLineChars="200"/>
        <w:rPr>
          <w:rFonts w:eastAsia="楷体"/>
          <w:b/>
          <w:bCs/>
          <w:sz w:val="32"/>
          <w:szCs w:val="32"/>
        </w:rPr>
      </w:pPr>
      <w:r>
        <w:rPr>
          <w:rFonts w:eastAsia="楷体"/>
          <w:b/>
          <w:bCs/>
          <w:sz w:val="32"/>
          <w:szCs w:val="32"/>
        </w:rPr>
        <w:t>（二）资金安排和使用情况</w:t>
      </w:r>
    </w:p>
    <w:p>
      <w:pPr>
        <w:spacing w:line="56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按相关规定，列入其他收入的老年中心缴款20万元，不再收取，因而实际预算到帐为5万元。该资金财政拨款时间为12月，时间较短，因而共支出2万元，支出进度较慢。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项目绩效目标</w:t>
      </w:r>
    </w:p>
    <w:p>
      <w:pPr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目标1：加强养老服务信息化管理，完成智慧养老服务平台建设试点申报工作；</w:t>
      </w:r>
    </w:p>
    <w:p>
      <w:pPr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目标2：加强养老服务标准化建设，积极开展养老服务机构等级评定工作，全面提升养老机构服务质量；</w:t>
      </w:r>
    </w:p>
    <w:p>
      <w:pPr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目标3：以职业技能提升行动为契机，配合局养老服务科做好养老服务人员培训工作，不断提升我市养老服务水平。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二、项目绩效情况分析</w:t>
      </w:r>
    </w:p>
    <w:p>
      <w:pPr>
        <w:spacing w:line="560" w:lineRule="exact"/>
        <w:ind w:firstLine="643" w:firstLineChars="200"/>
        <w:rPr>
          <w:rFonts w:eastAsia="楷体"/>
          <w:b/>
          <w:bCs/>
          <w:sz w:val="32"/>
          <w:szCs w:val="32"/>
        </w:rPr>
      </w:pPr>
      <w:r>
        <w:rPr>
          <w:rFonts w:eastAsia="楷体"/>
          <w:b/>
          <w:bCs/>
          <w:sz w:val="32"/>
          <w:szCs w:val="32"/>
        </w:rPr>
        <w:t>（一）绩效目标完成情</w:t>
      </w:r>
      <w:r>
        <w:rPr>
          <w:rFonts w:hint="eastAsia" w:eastAsia="楷体"/>
          <w:b/>
          <w:bCs/>
          <w:sz w:val="32"/>
          <w:szCs w:val="32"/>
        </w:rPr>
        <w:t>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任务一：</w:t>
      </w:r>
      <w:r>
        <w:rPr>
          <w:rFonts w:hint="eastAsia" w:ascii="仿宋" w:hAnsi="仿宋" w:eastAsia="仿宋" w:cs="仿宋"/>
          <w:sz w:val="32"/>
          <w:szCs w:val="32"/>
        </w:rPr>
        <w:t>已完成智慧养老服务平台建设试点申报工作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任务二：</w:t>
      </w:r>
      <w:r>
        <w:rPr>
          <w:rFonts w:hint="eastAsia" w:ascii="仿宋" w:hAnsi="仿宋" w:eastAsia="仿宋" w:cs="仿宋"/>
          <w:sz w:val="32"/>
          <w:szCs w:val="32"/>
        </w:rPr>
        <w:t>已对全市自愿申报的52家养老服务机构进行了等级评定工作，初评结果已出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任务三：</w:t>
      </w:r>
      <w:r>
        <w:rPr>
          <w:rFonts w:hint="eastAsia" w:ascii="仿宋" w:hAnsi="仿宋" w:eastAsia="仿宋" w:cs="仿宋"/>
          <w:sz w:val="32"/>
          <w:szCs w:val="32"/>
        </w:rPr>
        <w:t>已完成全市100名养老服务人员职业技能大赛项目的实训工作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项目总体未偏离绩效目标，项目单位在资金使用过程中，能够严格遵循资金使用规范和有关财务制度要求，不存在挪用、挤占项目资金情况。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三、存在的问题及改进建议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无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四、评价结论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通过自评，预算编制合理，自评得分</w:t>
      </w:r>
      <w:r>
        <w:rPr>
          <w:rFonts w:hint="eastAsia"/>
          <w:sz w:val="32"/>
          <w:szCs w:val="32"/>
          <w:lang w:val="en-US" w:eastAsia="zh-CN"/>
        </w:rPr>
        <w:t>98</w:t>
      </w:r>
      <w:r>
        <w:rPr>
          <w:sz w:val="32"/>
          <w:szCs w:val="32"/>
        </w:rPr>
        <w:t>分。</w:t>
      </w:r>
    </w:p>
    <w:p>
      <w:pPr>
        <w:ind w:firstLine="640" w:firstLineChars="200"/>
        <w:rPr>
          <w:rFonts w:ascii="楷体_GB2312" w:hAnsi="楷体_GB2312" w:eastAsia="楷体_GB2312" w:cs="楷体_GB2312"/>
          <w:bCs/>
          <w:sz w:val="32"/>
          <w:szCs w:val="32"/>
        </w:rPr>
      </w:pPr>
    </w:p>
    <w:p>
      <w:pPr>
        <w:ind w:firstLine="640" w:firstLineChars="200"/>
        <w:rPr>
          <w:rFonts w:ascii="楷体_GB2312" w:hAnsi="楷体_GB2312" w:eastAsia="楷体_GB2312" w:cs="楷体_GB2312"/>
          <w:bCs/>
          <w:sz w:val="32"/>
          <w:szCs w:val="32"/>
        </w:rPr>
      </w:pPr>
    </w:p>
    <w:p>
      <w:pPr>
        <w:ind w:firstLine="640" w:firstLineChars="200"/>
        <w:rPr>
          <w:rFonts w:ascii="楷体_GB2312" w:hAnsi="楷体_GB2312" w:eastAsia="楷体_GB2312" w:cs="楷体_GB2312"/>
          <w:bCs/>
          <w:sz w:val="32"/>
          <w:szCs w:val="32"/>
        </w:rPr>
      </w:pPr>
    </w:p>
    <w:p>
      <w:pPr>
        <w:ind w:firstLine="640" w:firstLineChars="200"/>
        <w:rPr>
          <w:rFonts w:ascii="楷体_GB2312" w:hAnsi="楷体_GB2312" w:eastAsia="楷体_GB2312" w:cs="楷体_GB2312"/>
          <w:bCs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2022年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 xml:space="preserve">日   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  </w:t>
      </w:r>
    </w:p>
    <w:sectPr>
      <w:footerReference r:id="rId3" w:type="default"/>
      <w:pgSz w:w="11906" w:h="16838"/>
      <w:pgMar w:top="2098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DF7154B-987F-47FB-BB69-E8B3DD4B935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637DE23-EAD3-4EF7-BDEF-167AA2E502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0BA66A4-8614-4B02-8554-E5A45B35946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4B5A571-1245-42AA-A125-B7EB08F4298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816D1DC-42DC-4B1F-97AB-131AE3AC3A5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DEDAEA6-7ECD-4860-B82B-3A222E50317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1F3C4A6E-C67D-4C27-93CA-D2275F4CF34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a8P8XFAQAAkA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380BA"/>
    <w:multiLevelType w:val="singleLevel"/>
    <w:tmpl w:val="EBB380B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16107"/>
    <w:rsid w:val="00040106"/>
    <w:rsid w:val="000B2AAF"/>
    <w:rsid w:val="000B7669"/>
    <w:rsid w:val="000F634F"/>
    <w:rsid w:val="000F6BDF"/>
    <w:rsid w:val="00103D16"/>
    <w:rsid w:val="001A5A43"/>
    <w:rsid w:val="001D375F"/>
    <w:rsid w:val="002215E3"/>
    <w:rsid w:val="00261E61"/>
    <w:rsid w:val="00293B12"/>
    <w:rsid w:val="003375EE"/>
    <w:rsid w:val="003675F5"/>
    <w:rsid w:val="003A3A5F"/>
    <w:rsid w:val="003D4D80"/>
    <w:rsid w:val="00464880"/>
    <w:rsid w:val="005154E8"/>
    <w:rsid w:val="005B25F9"/>
    <w:rsid w:val="00613CDB"/>
    <w:rsid w:val="0073678B"/>
    <w:rsid w:val="00781435"/>
    <w:rsid w:val="00847870"/>
    <w:rsid w:val="00863E10"/>
    <w:rsid w:val="008A6189"/>
    <w:rsid w:val="009423BB"/>
    <w:rsid w:val="009C2225"/>
    <w:rsid w:val="00A13338"/>
    <w:rsid w:val="00A7654D"/>
    <w:rsid w:val="00A8522E"/>
    <w:rsid w:val="00AD103D"/>
    <w:rsid w:val="00B64F9E"/>
    <w:rsid w:val="00C00B9E"/>
    <w:rsid w:val="00C74617"/>
    <w:rsid w:val="00D53193"/>
    <w:rsid w:val="00DC7648"/>
    <w:rsid w:val="00DD6D9F"/>
    <w:rsid w:val="00E87F65"/>
    <w:rsid w:val="00E95F83"/>
    <w:rsid w:val="00EE6A65"/>
    <w:rsid w:val="00EF57EA"/>
    <w:rsid w:val="00F43C23"/>
    <w:rsid w:val="00F57F82"/>
    <w:rsid w:val="00F66667"/>
    <w:rsid w:val="00FC1DE1"/>
    <w:rsid w:val="00FC3462"/>
    <w:rsid w:val="011E6B9D"/>
    <w:rsid w:val="08F33D56"/>
    <w:rsid w:val="0CFD6233"/>
    <w:rsid w:val="0E7B4B63"/>
    <w:rsid w:val="0F9C723C"/>
    <w:rsid w:val="11684BBC"/>
    <w:rsid w:val="12AB2FC8"/>
    <w:rsid w:val="12D45762"/>
    <w:rsid w:val="135A6EE6"/>
    <w:rsid w:val="14F57B1C"/>
    <w:rsid w:val="193261D5"/>
    <w:rsid w:val="19E40780"/>
    <w:rsid w:val="1A3C6C4F"/>
    <w:rsid w:val="1D8048F0"/>
    <w:rsid w:val="1EFF1CB5"/>
    <w:rsid w:val="22CB598E"/>
    <w:rsid w:val="232F4CA7"/>
    <w:rsid w:val="233D53E6"/>
    <w:rsid w:val="24425DC1"/>
    <w:rsid w:val="282D0FC2"/>
    <w:rsid w:val="2AC450FA"/>
    <w:rsid w:val="2C2935DB"/>
    <w:rsid w:val="30CD2F5B"/>
    <w:rsid w:val="30CF7FED"/>
    <w:rsid w:val="332B6989"/>
    <w:rsid w:val="338966CD"/>
    <w:rsid w:val="39180229"/>
    <w:rsid w:val="3B1C0C4C"/>
    <w:rsid w:val="3CDD008B"/>
    <w:rsid w:val="3D155A4B"/>
    <w:rsid w:val="404228F2"/>
    <w:rsid w:val="441B27DD"/>
    <w:rsid w:val="446C3A54"/>
    <w:rsid w:val="47B512B6"/>
    <w:rsid w:val="4A3809DD"/>
    <w:rsid w:val="4BA014AA"/>
    <w:rsid w:val="51877443"/>
    <w:rsid w:val="51971756"/>
    <w:rsid w:val="5403381D"/>
    <w:rsid w:val="58D05EF0"/>
    <w:rsid w:val="59EA1BD8"/>
    <w:rsid w:val="5A1822FB"/>
    <w:rsid w:val="5BD25946"/>
    <w:rsid w:val="62DD6B4C"/>
    <w:rsid w:val="65087028"/>
    <w:rsid w:val="68EC3730"/>
    <w:rsid w:val="6A631B22"/>
    <w:rsid w:val="6DEE1702"/>
    <w:rsid w:val="6E3B193B"/>
    <w:rsid w:val="6F8D53A3"/>
    <w:rsid w:val="70FE2A56"/>
    <w:rsid w:val="717D0355"/>
    <w:rsid w:val="727E4290"/>
    <w:rsid w:val="73E65932"/>
    <w:rsid w:val="7488305E"/>
    <w:rsid w:val="757271DD"/>
    <w:rsid w:val="77CA42F3"/>
    <w:rsid w:val="786F5C73"/>
    <w:rsid w:val="78C14E71"/>
    <w:rsid w:val="78D1018A"/>
    <w:rsid w:val="78FA5EEC"/>
    <w:rsid w:val="7A2E73CC"/>
    <w:rsid w:val="7DC10D1E"/>
    <w:rsid w:val="7EC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</w:rPr>
  </w:style>
  <w:style w:type="character" w:customStyle="1" w:styleId="8">
    <w:name w:val="页眉 字符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rFonts w:eastAsia="仿宋_GB2312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202</Words>
  <Characters>1153</Characters>
  <Lines>9</Lines>
  <Paragraphs>2</Paragraphs>
  <TotalTime>3</TotalTime>
  <ScaleCrop>false</ScaleCrop>
  <LinksUpToDate>false</LinksUpToDate>
  <CharactersWithSpaces>1353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2011-03-02T08:16:00Z</dcterms:created>
  <dc:creator>lhn</dc:creator>
  <cp:lastModifiedBy>上演嘻剧</cp:lastModifiedBy>
  <cp:lastPrinted>2022-03-11T08:31:00Z</cp:lastPrinted>
  <dcterms:modified xsi:type="dcterms:W3CDTF">2022-05-06T02:34:40Z</dcterms:modified>
  <dc:title>财政支出绩效评价报告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E0C2485B7F6E482489E4B15ED7826FD2</vt:lpwstr>
  </property>
</Properties>
</file>